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8E3E" w14:textId="3255C73B" w:rsidR="0050142D" w:rsidRDefault="00505BC6" w:rsidP="003A3A9F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cs="Arial"/>
          <w:b/>
        </w:rPr>
      </w:pPr>
      <w:bookmarkStart w:id="0" w:name="_GoBack"/>
      <w:bookmarkEnd w:id="0"/>
      <w:r w:rsidRPr="0050142D">
        <w:rPr>
          <w:rFonts w:cs="Arial"/>
          <w:b/>
        </w:rPr>
        <w:t>A</w:t>
      </w:r>
      <w:r w:rsidR="003A3A9F" w:rsidRPr="0050142D">
        <w:rPr>
          <w:rFonts w:cs="Arial"/>
          <w:b/>
        </w:rPr>
        <w:t xml:space="preserve">nexo I </w:t>
      </w:r>
    </w:p>
    <w:p w14:paraId="6D08D55B" w14:textId="32A84F03" w:rsidR="003A3A9F" w:rsidRDefault="00A337BD" w:rsidP="00257D67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cs="Arial"/>
          <w:u w:val="single"/>
        </w:rPr>
      </w:pPr>
      <w:r>
        <w:rPr>
          <w:rFonts w:cs="Arial"/>
          <w:u w:val="single"/>
        </w:rPr>
        <w:t>Requisitos d</w:t>
      </w:r>
      <w:r w:rsidR="00486645">
        <w:rPr>
          <w:rFonts w:cs="Arial"/>
          <w:u w:val="single"/>
        </w:rPr>
        <w:t>as</w:t>
      </w:r>
      <w:r>
        <w:rPr>
          <w:rFonts w:cs="Arial"/>
          <w:u w:val="single"/>
        </w:rPr>
        <w:t xml:space="preserve"> medidas</w:t>
      </w:r>
      <w:r w:rsidR="00257D67" w:rsidRPr="00257D67">
        <w:rPr>
          <w:rFonts w:cs="Arial"/>
          <w:u w:val="single"/>
        </w:rPr>
        <w:t xml:space="preserve"> </w:t>
      </w:r>
      <w:r w:rsidR="008678F6">
        <w:rPr>
          <w:rFonts w:cs="Arial"/>
          <w:u w:val="single"/>
        </w:rPr>
        <w:t>e Despesas Elegíveis em</w:t>
      </w:r>
      <w:r w:rsidR="00257D67" w:rsidRPr="00257D67">
        <w:rPr>
          <w:rFonts w:cs="Arial"/>
          <w:u w:val="single"/>
        </w:rPr>
        <w:t xml:space="preserve"> Eficiência Energética e Energias Renováveis, por tipologia de operação</w:t>
      </w:r>
    </w:p>
    <w:p w14:paraId="38271322" w14:textId="77777777" w:rsidR="00E67CFA" w:rsidRDefault="00E67CFA" w:rsidP="00257D67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eastAsia="Calibri" w:cs="Arial"/>
          <w:bCs/>
          <w:spacing w:val="0"/>
          <w:szCs w:val="22"/>
        </w:rPr>
      </w:pPr>
    </w:p>
    <w:tbl>
      <w:tblPr>
        <w:tblStyle w:val="Tabelacomgrelha2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8788"/>
      </w:tblGrid>
      <w:tr w:rsidR="00873E92" w:rsidRPr="00873E92" w14:paraId="7104CD3A" w14:textId="77777777" w:rsidTr="00A05769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2BEEAEFA" w14:textId="5CD62683" w:rsidR="00873E92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t>Requisitos das m</w:t>
            </w:r>
            <w:r w:rsidR="00873E92"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63B6E57" w14:textId="38EEA578" w:rsidR="00873E92" w:rsidRPr="00873E92" w:rsidRDefault="00ED6D52" w:rsidP="00257D67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 xml:space="preserve">Despesas </w:t>
            </w:r>
            <w:r w:rsidR="00C536FF"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Elegíveis</w:t>
            </w:r>
          </w:p>
        </w:tc>
      </w:tr>
      <w:tr w:rsidR="00873E92" w:rsidRPr="00873E92" w14:paraId="0E1619CC" w14:textId="77777777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C669C0" w14:textId="71544498" w:rsidR="00873E92" w:rsidRPr="00873E92" w:rsidRDefault="00873E92" w:rsidP="00873E92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873E92">
              <w:rPr>
                <w:rFonts w:cs="Arial"/>
                <w:b/>
                <w:sz w:val="18"/>
                <w:szCs w:val="18"/>
                <w:lang w:val="pt-PT"/>
              </w:rPr>
              <w:t>a) Intervenções que visem o aumento da eficiência energética dos edifícios e equipamentos públicos da administração central</w:t>
            </w:r>
          </w:p>
          <w:p w14:paraId="52E3F40B" w14:textId="19651140" w:rsidR="00873E92" w:rsidRPr="00873E92" w:rsidRDefault="00873E92" w:rsidP="00873E92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 w:rsidR="007A49BF">
              <w:rPr>
                <w:rFonts w:cs="Arial"/>
                <w:sz w:val="18"/>
                <w:szCs w:val="18"/>
                <w:lang w:val="pt-PT"/>
              </w:rPr>
              <w:t>: alínea a) do ponto 3</w:t>
            </w:r>
            <w:r>
              <w:rPr>
                <w:rFonts w:cs="Arial"/>
                <w:sz w:val="18"/>
                <w:szCs w:val="18"/>
                <w:lang w:val="pt-PT"/>
              </w:rPr>
              <w:t>.1 do Aviso)</w:t>
            </w:r>
          </w:p>
        </w:tc>
      </w:tr>
      <w:tr w:rsidR="00EE286B" w:rsidRPr="00873E92" w14:paraId="65093F77" w14:textId="77777777" w:rsidTr="00A05769">
        <w:trPr>
          <w:trHeight w:val="2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FF4A" w14:textId="77929AEC" w:rsidR="00EE286B" w:rsidRPr="000F3AA4" w:rsidRDefault="00C575D7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i) </w:t>
            </w:r>
            <w:r w:rsidR="00EE286B" w:rsidRPr="000F3AA4">
              <w:rPr>
                <w:rFonts w:cs="Arial"/>
                <w:sz w:val="18"/>
                <w:szCs w:val="18"/>
                <w:lang w:val="pt-PT"/>
              </w:rPr>
              <w:t>Intervenções na envolvente opaca dos edifícios, com o objetivo de proceder à instalação de isolamento térmico em paredes, pavimentos, coberturas e caixas de estore.</w:t>
            </w:r>
          </w:p>
          <w:p w14:paraId="376CB00C" w14:textId="77777777" w:rsidR="00EE286B" w:rsidRPr="000F3AA4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FAA8111" w14:textId="47461D44" w:rsidR="00EE286B" w:rsidRPr="000F3AA4" w:rsidRDefault="00EE28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0F3AA4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832D6B" w:rsidRPr="000F3AA4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0F3AA4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67DDA586" w14:textId="77777777" w:rsidR="00832D6B" w:rsidRPr="000F3AA4" w:rsidRDefault="00832D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267349C6" w14:textId="77777777" w:rsidR="00832D6B" w:rsidRPr="000F3AA4" w:rsidRDefault="00832D6B" w:rsidP="00832D6B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  <w:p w14:paraId="3D23EE21" w14:textId="77777777" w:rsidR="00832D6B" w:rsidRPr="000F3AA4" w:rsidRDefault="00832D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2B2658AC" w14:textId="77777777"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9247CBF" w14:textId="2848E6D0" w:rsidR="00B50E30" w:rsidRPr="001D1D46" w:rsidRDefault="00EE286B" w:rsidP="00832D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No caso de sistemas de isolamento térmico 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de paredes 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>pelo exterior (ETICS) o mesmo deverá cumprir com a aprovação técnica europeia (</w:t>
            </w:r>
            <w:r w:rsidRPr="000F3AA4">
              <w:rPr>
                <w:rFonts w:cs="Arial"/>
                <w:i/>
                <w:sz w:val="18"/>
                <w:szCs w:val="18"/>
                <w:lang w:val="pt-PT"/>
              </w:rPr>
              <w:t xml:space="preserve">European </w:t>
            </w:r>
            <w:r w:rsidR="006F785B" w:rsidRPr="000F3AA4">
              <w:rPr>
                <w:rFonts w:cs="Arial"/>
                <w:i/>
                <w:sz w:val="18"/>
                <w:szCs w:val="18"/>
                <w:lang w:val="pt-PT"/>
              </w:rPr>
              <w:t>Technical</w:t>
            </w:r>
            <w:r w:rsidRPr="000F3AA4">
              <w:rPr>
                <w:rFonts w:cs="Arial"/>
                <w:i/>
                <w:sz w:val="18"/>
                <w:szCs w:val="18"/>
                <w:lang w:val="pt-PT"/>
              </w:rPr>
              <w:t xml:space="preserve"> Approval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 - ETA)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. 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2A96B" w14:textId="77777777"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7BA356E" w14:textId="77777777"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Aquisição e respetiva colocação de isolamento térmico (ex: poliestireno expandido, extrudido, lã mineral, cortiça ou outro) em fachadas, paredes, pavimentos, caixa de estores e preenchimento da caixa-de-ar de paredes duplas.</w:t>
            </w:r>
          </w:p>
          <w:p w14:paraId="7DA08257" w14:textId="77777777"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Acabamento (pintura, reboco, entre outros) relativo à instalação deste tipo de isolamento (por exemplo, em fachadas), na medida em que esse acabamento resulte da aplicação do isolamento.</w:t>
            </w:r>
          </w:p>
          <w:p w14:paraId="11B54B74" w14:textId="77777777"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31C60C1" w14:textId="77777777" w:rsidR="00EE286B" w:rsidRPr="001D1D46" w:rsidRDefault="00EE28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b/>
                <w:sz w:val="18"/>
                <w:szCs w:val="18"/>
                <w:lang w:val="pt-PT"/>
              </w:rPr>
              <w:t>Exemplos:</w:t>
            </w:r>
          </w:p>
          <w:p w14:paraId="22B8AE1F" w14:textId="77777777"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A – É colocado isolamento na fachada, sendo necessário posteriormente rebocar e pintar ou revestir a fachada – despesa elegível.</w:t>
            </w:r>
          </w:p>
          <w:p w14:paraId="21FCA538" w14:textId="77777777"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B – É colocado isolamento a preencher a caixa-de-ar de uma parede dupla – acabamento exterior não é despesa elegível.</w:t>
            </w:r>
          </w:p>
          <w:p w14:paraId="745B1388" w14:textId="77777777" w:rsidR="00EE286B" w:rsidRPr="001D1D46" w:rsidRDefault="00EE286B" w:rsidP="00632E6F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</w:tr>
      <w:tr w:rsidR="00EE286B" w:rsidRPr="00873E92" w14:paraId="25E3FB84" w14:textId="77777777" w:rsidTr="00A05769">
        <w:trPr>
          <w:trHeight w:val="20"/>
          <w:jc w:val="center"/>
        </w:trPr>
        <w:tc>
          <w:tcPr>
            <w:tcW w:w="538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50547" w14:textId="2ED4AA33" w:rsidR="00EE286B" w:rsidRPr="001D1D46" w:rsidRDefault="00EE286B" w:rsidP="00873E92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FD0F" w14:textId="77777777" w:rsidR="00EC732D" w:rsidRPr="001D1D46" w:rsidRDefault="00EC732D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19CEECE" w14:textId="77777777" w:rsidR="00EC732D" w:rsidRPr="001D1D46" w:rsidRDefault="00EE286B" w:rsidP="00EE286B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1C7E6F8E" w14:textId="77777777" w:rsidR="00EC732D" w:rsidRPr="001D1D46" w:rsidRDefault="00EC732D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4B61202" w14:textId="2C82442E" w:rsidR="00EE286B" w:rsidRPr="001D1D46" w:rsidRDefault="00EE286B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654331EE" w14:textId="77777777" w:rsidR="00EE286B" w:rsidRPr="001D1D46" w:rsidRDefault="00EE286B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C8859A5" w14:textId="5DDF5C9D"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“Envolvente opaca”</w:t>
            </w:r>
          </w:p>
        </w:tc>
      </w:tr>
      <w:tr w:rsidR="00EC732D" w:rsidRPr="00873E92" w14:paraId="7820243A" w14:textId="77777777" w:rsidTr="001D1D46">
        <w:trPr>
          <w:trHeight w:val="388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8D40C" w14:textId="07DDDBBA"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2165B0C" w14:textId="5B45460E" w:rsidR="00EC732D" w:rsidRDefault="00C575D7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Intervenções na envolvente envidraçada dos edifícios, nomeadamente através da substituição de caixilharia com vidro simples, e caixilharia com vidro duplo sem corte térmico, por caixilharia com vidro duplo e corte térmico, ou solução equivalente em termos de desempenho energético, e respetiv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os dispositivos de sombreamento.</w:t>
            </w:r>
            <w:r w:rsidR="00EC732D" w:rsidRPr="006235D6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14:paraId="63E72CCB" w14:textId="77777777"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607320D" w14:textId="77777777" w:rsidR="00B61E85" w:rsidRDefault="00B61E85" w:rsidP="001407FE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6D180DF0" w14:textId="77777777" w:rsidR="00B61E85" w:rsidRDefault="00B61E85" w:rsidP="001407FE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36AE6540" w14:textId="013D3154" w:rsidR="00EC732D" w:rsidRPr="001407FE" w:rsidRDefault="00EC732D" w:rsidP="001407FE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lastRenderedPageBreak/>
              <w:t>Requisitos</w:t>
            </w:r>
            <w:r w:rsidR="00832D6B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52E8AD9A" w14:textId="77777777"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C4C4653" w14:textId="77777777" w:rsidR="00832D6B" w:rsidRPr="000F3AA4" w:rsidRDefault="00832D6B" w:rsidP="00832D6B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  <w:p w14:paraId="270285E4" w14:textId="77777777" w:rsidR="00832D6B" w:rsidRDefault="00832D6B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1E9D6293" w14:textId="0ACD7B70" w:rsidR="00DF0504" w:rsidRPr="00873E92" w:rsidRDefault="00DF0504" w:rsidP="00B50E30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62E70" w14:textId="77777777" w:rsidR="00A05769" w:rsidRDefault="00A05769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9C4549B" w14:textId="77777777" w:rsidR="00EC732D" w:rsidRDefault="00EC732D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6235D6">
              <w:rPr>
                <w:rFonts w:cs="Arial"/>
                <w:sz w:val="18"/>
                <w:szCs w:val="18"/>
                <w:lang w:val="pt-PT"/>
              </w:rPr>
              <w:t>Aquisição e respetiva instalação de:</w:t>
            </w:r>
          </w:p>
          <w:p w14:paraId="2D6DD11C" w14:textId="77777777" w:rsidR="00EC732D" w:rsidRPr="006235D6" w:rsidRDefault="00EC732D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BEE802C" w14:textId="370AC998" w:rsidR="00EC732D" w:rsidRPr="00A05769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Caixilharia de alumínio com corte térmico;</w:t>
            </w:r>
          </w:p>
          <w:p w14:paraId="47B7E4DC" w14:textId="2D017CC3" w:rsidR="00EC732D" w:rsidRPr="00A05769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Caixilharia de PVC ou madeira, ou de PVC/alumínio forrada a madeira;</w:t>
            </w:r>
          </w:p>
          <w:p w14:paraId="74D3B3B2" w14:textId="16BEA25A" w:rsidR="00EC732D" w:rsidRPr="00620AF5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620AF5">
              <w:rPr>
                <w:rFonts w:ascii="Arial" w:hAnsi="Arial" w:cs="Arial"/>
                <w:sz w:val="18"/>
                <w:szCs w:val="18"/>
                <w:lang w:val="pt-PT"/>
              </w:rPr>
              <w:t>Vãos duplos de caixilharia;</w:t>
            </w:r>
          </w:p>
          <w:p w14:paraId="78A1A374" w14:textId="2A671FFA" w:rsidR="00EC732D" w:rsidRPr="00620AF5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pt-PT"/>
              </w:rPr>
            </w:pPr>
            <w:r w:rsidRPr="00620AF5">
              <w:rPr>
                <w:rFonts w:ascii="Arial" w:hAnsi="Arial" w:cs="Arial"/>
                <w:sz w:val="18"/>
                <w:szCs w:val="18"/>
                <w:lang w:val="pt-PT"/>
              </w:rPr>
              <w:t>Outros tipos de caixilharia que conduzam ao cumprimento dos requisitos mínimos de desempenho</w:t>
            </w:r>
            <w:r w:rsidRPr="00620AF5">
              <w:rPr>
                <w:rFonts w:cs="Arial"/>
                <w:sz w:val="18"/>
                <w:szCs w:val="18"/>
                <w:lang w:val="pt-PT"/>
              </w:rPr>
              <w:t xml:space="preserve"> aplicáveis.</w:t>
            </w:r>
          </w:p>
          <w:p w14:paraId="6C0899A4" w14:textId="77777777" w:rsidR="00EC732D" w:rsidRPr="00EC732D" w:rsidRDefault="00EC732D" w:rsidP="006235D6">
            <w:pPr>
              <w:ind w:left="0"/>
              <w:rPr>
                <w:rFonts w:cs="Arial"/>
                <w:i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i/>
                <w:sz w:val="18"/>
                <w:szCs w:val="18"/>
                <w:lang w:val="pt-PT"/>
              </w:rPr>
              <w:lastRenderedPageBreak/>
              <w:t>Nota: na especificação de caixilharias devem ser avaliadas as condições de ventilação do edifício ou fração e, se necessário, utilizar estes elementos para incorporar eventuais dispositivos de admissão de ar.</w:t>
            </w:r>
          </w:p>
          <w:p w14:paraId="3668F1D5" w14:textId="77777777" w:rsidR="00A05769" w:rsidRPr="006235D6" w:rsidRDefault="00A05769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16DB5A33" w14:textId="37E02100" w:rsidR="00EC732D" w:rsidRPr="00551F85" w:rsidRDefault="00EC732D" w:rsidP="00551F85">
            <w:pPr>
              <w:pStyle w:val="PargrafodaLista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Dispositivos de sombreamento – palas, platibandas, estores, sistemas dinâmicos de sombreamento, fachadas agrafadas entre outras soluções que permitam um aumento na eficiência energética por melhoria das condições interiores no edifício ou fração.</w:t>
            </w:r>
          </w:p>
        </w:tc>
      </w:tr>
      <w:tr w:rsidR="00EC732D" w:rsidRPr="00873E92" w14:paraId="73671948" w14:textId="77777777" w:rsidTr="001D1D46">
        <w:trPr>
          <w:trHeight w:val="1649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E183F" w14:textId="77777777" w:rsidR="00EC732D" w:rsidRPr="00A05769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B5CA24" w14:textId="77777777"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1D188C77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1D16C59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6A36783B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0AA4E80E" w14:textId="7A709CDE"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“Envolvente envidraçada”</w:t>
            </w:r>
          </w:p>
        </w:tc>
      </w:tr>
      <w:tr w:rsidR="00EC732D" w:rsidRPr="00873E92" w14:paraId="7F0953A9" w14:textId="77777777" w:rsidTr="007A49BF">
        <w:trPr>
          <w:trHeight w:val="532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A6554" w14:textId="6DDB790C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8246D57" w14:textId="0B9D7ED3"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iii)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Intervenções nos sistemas técnicos instalados, através da substituição dos sistemas existentes por sistemas de elevada eficiência, ou através de intervenções nos sistemas existentes que visem aumentar a sua eficiência energética, nomeadamente integração de água quente solar, incorporação de microgeração, sistemas de iluminação, aquecimento, vent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ilação e ar condicionado (AVAC).</w:t>
            </w:r>
          </w:p>
          <w:p w14:paraId="37EAEBD8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A669642" w14:textId="66886171"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832D6B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652DE26E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0E62EA65" w14:textId="19F8354F" w:rsidR="00EC732D" w:rsidRPr="007A49BF" w:rsidRDefault="00832D6B" w:rsidP="007A49BF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FE3A4" w14:textId="77777777" w:rsidR="00EC732D" w:rsidRPr="0028238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278C8F6" w14:textId="77777777" w:rsidR="00EC732D" w:rsidRPr="00282382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Intervenções em sistemas de produção de águas quentes sanitárias (AQS) ou outros sistemas técnicos já existentes, com o objetivo da sua otimização em termos de eficiência energética.</w:t>
            </w:r>
          </w:p>
          <w:p w14:paraId="1EC28340" w14:textId="77777777" w:rsidR="00EC732D" w:rsidRPr="00282382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Substituição (aquisição e instalação) de sistema AQS por outro novo, mais eficiente – por exemplo, num edifício devoluto que já apresente algum tipo de sistema de AQS, ainda que esteja devoluto, é elegível a colocação de um novo, mais eficiente.</w:t>
            </w:r>
          </w:p>
          <w:p w14:paraId="2731E7B9" w14:textId="77777777" w:rsidR="00EC732D" w:rsidRPr="00282382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Inclui a aquisição e instalação de esquentadores, caldeiras, termoacumuladores, bombas de calor, entre outros, e canalizações (neste último caso, apenas aquelas que integram o sistema de AQS, ou seja as destinadas à distribuição de água quente).</w:t>
            </w:r>
          </w:p>
          <w:p w14:paraId="409363E5" w14:textId="77777777" w:rsidR="00EC732D" w:rsidRPr="00282382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Nos outros sistemas técnicos, incluem-se os sistemas de climatização (ar condicionado, sistemas de aquecimento central, entre outros) e de sistemas de ventilação pontual em casas de banho, mas atendendo sempre à necessidade de substituição de um sistema previamente existente por outro de elevada eficiência.</w:t>
            </w:r>
          </w:p>
          <w:p w14:paraId="11962184" w14:textId="77777777" w:rsidR="00EC732D" w:rsidRPr="00282382" w:rsidRDefault="00EC732D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14:paraId="716C312A" w14:textId="1B09D801" w:rsidR="00EC732D" w:rsidRPr="00282382" w:rsidRDefault="005A4896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282382">
              <w:rPr>
                <w:rFonts w:cs="Arial"/>
                <w:b/>
                <w:sz w:val="18"/>
                <w:szCs w:val="18"/>
                <w:lang w:val="pt-PT"/>
              </w:rPr>
              <w:t>Exemplos de operações n</w:t>
            </w:r>
            <w:r w:rsidR="00EC732D" w:rsidRPr="00282382">
              <w:rPr>
                <w:rFonts w:cs="Arial"/>
                <w:b/>
                <w:sz w:val="18"/>
                <w:szCs w:val="18"/>
                <w:lang w:val="pt-PT"/>
              </w:rPr>
              <w:t>ão elegíve</w:t>
            </w:r>
            <w:r w:rsidRPr="00282382">
              <w:rPr>
                <w:rFonts w:cs="Arial"/>
                <w:b/>
                <w:sz w:val="18"/>
                <w:szCs w:val="18"/>
                <w:lang w:val="pt-PT"/>
              </w:rPr>
              <w:t>is (não exaustivo)</w:t>
            </w:r>
            <w:r w:rsidR="00EC732D" w:rsidRPr="00282382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02048B04" w14:textId="77777777" w:rsidR="00A05769" w:rsidRPr="00282382" w:rsidRDefault="00A05769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14:paraId="5EA70474" w14:textId="77777777" w:rsidR="00EC732D" w:rsidRPr="00282382" w:rsidRDefault="00EC732D" w:rsidP="007A591F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sistema de AQS e de outros sistemas técnicos onde não existia nenhum.</w:t>
            </w:r>
          </w:p>
          <w:p w14:paraId="03C6DC98" w14:textId="0B922E3D" w:rsidR="00EC732D" w:rsidRPr="00282382" w:rsidRDefault="00EC732D" w:rsidP="007A591F">
            <w:pPr>
              <w:pStyle w:val="PargrafodaLista"/>
              <w:numPr>
                <w:ilvl w:val="0"/>
                <w:numId w:val="5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282382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sistemas de ventilação pontual (exaustores) de cozinha.</w:t>
            </w:r>
          </w:p>
        </w:tc>
      </w:tr>
      <w:tr w:rsidR="00EC732D" w:rsidRPr="00873E92" w14:paraId="58BEC5A9" w14:textId="77777777" w:rsidTr="007A49BF">
        <w:trPr>
          <w:trHeight w:val="1410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4CE410" w14:textId="77777777" w:rsidR="00EC732D" w:rsidRPr="00C575D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</w:tcPr>
          <w:p w14:paraId="7DE55F5E" w14:textId="77777777" w:rsidR="00EC732D" w:rsidRPr="00EC732D" w:rsidRDefault="00EC732D" w:rsidP="00A4728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6388984D" w14:textId="77777777" w:rsidR="00EC732D" w:rsidRDefault="00EC732D" w:rsidP="00A4728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0A47A542" w14:textId="77777777" w:rsidR="00EC732D" w:rsidRDefault="00EC732D" w:rsidP="00A4728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799B7BF0" w14:textId="77777777" w:rsidR="00EC732D" w:rsidRDefault="00EC732D" w:rsidP="00A4728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4D63511" w14:textId="532FCFA1" w:rsidR="00EC732D" w:rsidRPr="00EC732D" w:rsidRDefault="00653D0C" w:rsidP="00A4728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“</w:t>
            </w:r>
            <w:r w:rsidR="00EC732D" w:rsidRPr="00EC732D">
              <w:rPr>
                <w:rFonts w:cs="Arial"/>
                <w:sz w:val="18"/>
                <w:szCs w:val="18"/>
                <w:lang w:val="pt-PT"/>
              </w:rPr>
              <w:t>AQS e Climatização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”</w:t>
            </w:r>
          </w:p>
        </w:tc>
      </w:tr>
      <w:tr w:rsidR="00EC732D" w:rsidRPr="00873E92" w14:paraId="6AFD144A" w14:textId="77777777" w:rsidTr="00A05769">
        <w:trPr>
          <w:trHeight w:val="1343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6CCCE5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05EF22F" w14:textId="3417222B"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iv)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 xml:space="preserve">Iluminação interior e exterior, excluindo a iluminação 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pública</w:t>
            </w:r>
          </w:p>
          <w:p w14:paraId="03C5D7B9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7F17ED7" w14:textId="1EB918C6" w:rsid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832D6B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3DF83514" w14:textId="77777777" w:rsidR="00832D6B" w:rsidRDefault="00832D6B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33F88867" w14:textId="3C64EF53" w:rsidR="00EC732D" w:rsidRPr="007A49BF" w:rsidRDefault="00832D6B" w:rsidP="00EC732D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F3164" w14:textId="77777777" w:rsidR="00A05769" w:rsidRPr="00A05769" w:rsidRDefault="00A05769" w:rsidP="00A05769">
            <w:pPr>
              <w:pStyle w:val="PargrafodaLista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40FF9DCC" w14:textId="1E105639" w:rsidR="00EC732D" w:rsidRPr="00A05769" w:rsidRDefault="00EC732D" w:rsidP="007A591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equipamentos de iluminação interior.</w:t>
            </w:r>
          </w:p>
          <w:p w14:paraId="2955721A" w14:textId="77777777" w:rsidR="00EC732D" w:rsidRPr="00A05769" w:rsidRDefault="00EC732D" w:rsidP="007A591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Lâmpadas.</w:t>
            </w:r>
          </w:p>
          <w:p w14:paraId="73AB6B2D" w14:textId="77777777" w:rsidR="00EC732D" w:rsidRPr="00A05769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E0724DD" w14:textId="7494CC78" w:rsidR="00EC732D" w:rsidRPr="005221E3" w:rsidRDefault="005221E3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5221E3">
              <w:rPr>
                <w:rFonts w:cs="Arial"/>
                <w:b/>
                <w:sz w:val="18"/>
                <w:szCs w:val="18"/>
                <w:lang w:val="pt-PT"/>
              </w:rPr>
              <w:t>Exemplos de operações não elegíveis (não exaustivo):</w:t>
            </w:r>
          </w:p>
          <w:p w14:paraId="57754D0D" w14:textId="77777777" w:rsidR="00A05769" w:rsidRPr="00A05769" w:rsidRDefault="00A05769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14:paraId="6095B993" w14:textId="031E0ED3" w:rsidR="00EC732D" w:rsidRPr="00A05769" w:rsidRDefault="00EC732D" w:rsidP="007A59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  <w:lang w:val="pt-PT" w:eastAsia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Intervenções nas redes elétricas.</w:t>
            </w:r>
          </w:p>
        </w:tc>
      </w:tr>
      <w:tr w:rsidR="00EC732D" w:rsidRPr="00873E92" w14:paraId="6DDBBCB1" w14:textId="77777777" w:rsidTr="00A05769">
        <w:trPr>
          <w:trHeight w:val="1342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A5A120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AD567" w14:textId="77777777"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3F29A2D7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B58E474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5C410184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1D234A07" w14:textId="3EBA6879"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“</w:t>
            </w:r>
            <w:r w:rsidRPr="00EC732D">
              <w:rPr>
                <w:rFonts w:cs="Arial"/>
                <w:sz w:val="18"/>
                <w:szCs w:val="18"/>
                <w:lang w:val="pt-PT"/>
              </w:rPr>
              <w:t>Sistemas de iluminação</w:t>
            </w:r>
            <w:r>
              <w:rPr>
                <w:rFonts w:cs="Arial"/>
                <w:sz w:val="18"/>
                <w:szCs w:val="18"/>
                <w:lang w:val="pt-PT"/>
              </w:rPr>
              <w:t>”</w:t>
            </w:r>
          </w:p>
        </w:tc>
      </w:tr>
      <w:tr w:rsidR="00EC732D" w:rsidRPr="00873E92" w14:paraId="575089B8" w14:textId="77777777" w:rsidTr="00A05769">
        <w:trPr>
          <w:trHeight w:val="1448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7F37B1" w14:textId="712DBC41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D0B8A2C" w14:textId="7686AA54"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v)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sistemas e equipamentos que permitam a gestão de consumos de energia, por forma a contabilizar e gerir os consumos de energia, gerando assim economias e possibilitando a sua transferência entre períodos tarifários.</w:t>
            </w:r>
          </w:p>
          <w:p w14:paraId="2EC0982C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1D8C6234" w14:textId="16E70345"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832D6B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7357AE5C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B120865" w14:textId="67F892D8" w:rsidR="00EC732D" w:rsidRPr="00873E92" w:rsidRDefault="00EC732D" w:rsidP="00B50E30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D1726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6708D02B" w14:textId="0A3C6C6B" w:rsidR="00EC732D" w:rsidRPr="00D800B0" w:rsidRDefault="00EC732D" w:rsidP="00D800B0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00B0">
              <w:rPr>
                <w:rFonts w:ascii="Arial" w:hAnsi="Arial" w:cs="Arial"/>
                <w:sz w:val="18"/>
                <w:szCs w:val="18"/>
                <w:lang w:val="pt-PT"/>
              </w:rPr>
              <w:t xml:space="preserve">Aquisição e instalação de equipamentos e sistemas que permitem, do ponto de vista do utilizador, gerir o consumo de energia </w:t>
            </w:r>
            <w:r w:rsidR="007A49BF">
              <w:rPr>
                <w:rFonts w:ascii="Arial" w:hAnsi="Arial" w:cs="Arial"/>
                <w:sz w:val="18"/>
                <w:szCs w:val="18"/>
                <w:lang w:val="pt-PT"/>
              </w:rPr>
              <w:t>do</w:t>
            </w:r>
            <w:r w:rsidRPr="00D800B0">
              <w:rPr>
                <w:rFonts w:ascii="Arial" w:hAnsi="Arial" w:cs="Arial"/>
                <w:sz w:val="18"/>
                <w:szCs w:val="18"/>
                <w:lang w:val="pt-PT"/>
              </w:rPr>
              <w:t xml:space="preserve"> edifício (por ex. Termostatos, relógios programadores de corrente elétrica, reguladores de intensidade de luz).</w:t>
            </w:r>
          </w:p>
          <w:p w14:paraId="584CCE12" w14:textId="77777777"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826FC47" w14:textId="11CFB1D3" w:rsidR="00EC732D" w:rsidRPr="005221E3" w:rsidRDefault="005221E3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5221E3">
              <w:rPr>
                <w:rFonts w:cs="Arial"/>
                <w:b/>
                <w:sz w:val="18"/>
                <w:szCs w:val="18"/>
                <w:lang w:val="pt-PT"/>
              </w:rPr>
              <w:t>Exemplos de operações não elegíveis (não exaustivo)</w:t>
            </w:r>
            <w:r w:rsidR="00EC732D" w:rsidRPr="005221E3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1E215803" w14:textId="77777777" w:rsidR="00A05769" w:rsidRPr="006235D6" w:rsidRDefault="00A05769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14:paraId="0DD8F58B" w14:textId="003A252A" w:rsidR="00EC732D" w:rsidRPr="00873E92" w:rsidRDefault="00EC732D" w:rsidP="007A591F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Contadores inteligentes e eletrodomésticos que permitam regulação do consumo de energia.</w:t>
            </w:r>
          </w:p>
        </w:tc>
      </w:tr>
      <w:tr w:rsidR="00EC732D" w:rsidRPr="00873E92" w14:paraId="4F2A9E93" w14:textId="77777777" w:rsidTr="00A05769">
        <w:trPr>
          <w:trHeight w:val="1447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FCEAD" w14:textId="77777777" w:rsidR="00EC732D" w:rsidRPr="00A05769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DE3B8" w14:textId="77777777"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6635BA78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148C141" w14:textId="3F6A9F62" w:rsidR="00EC732D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Não.</w:t>
            </w:r>
          </w:p>
        </w:tc>
      </w:tr>
      <w:tr w:rsidR="00323A05" w:rsidRPr="00873E92" w14:paraId="2A970D87" w14:textId="77777777" w:rsidTr="00632E6F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52D413B4" w14:textId="3FFD08F2"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t>Requisitos das m</w:t>
            </w:r>
            <w:r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04C219" w14:textId="77777777"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Despesas Elegíveis</w:t>
            </w:r>
          </w:p>
        </w:tc>
      </w:tr>
      <w:tr w:rsidR="00EC732D" w:rsidRPr="00873E92" w14:paraId="56F97CBD" w14:textId="77777777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1E55D8" w14:textId="103E44F2" w:rsidR="00EC732D" w:rsidRPr="00ED6D52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D6D52">
              <w:rPr>
                <w:rFonts w:cs="Arial"/>
                <w:b/>
                <w:sz w:val="18"/>
                <w:szCs w:val="18"/>
                <w:lang w:val="pt-PT"/>
              </w:rPr>
              <w:t>b) Intervenções ao nível da promoção de energias renováveis nos edifícios e equipamentos da administração central para autoconsumo desde que façam parte de soluções integradas que visem a eficiência energética</w:t>
            </w:r>
          </w:p>
          <w:p w14:paraId="0635BF53" w14:textId="7EEE2330" w:rsidR="00EC732D" w:rsidRPr="00873E92" w:rsidRDefault="00EC732D" w:rsidP="00EC732D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: alínea b) do ponto </w:t>
            </w:r>
            <w:r w:rsidR="007A49BF">
              <w:rPr>
                <w:rFonts w:cs="Arial"/>
                <w:sz w:val="18"/>
                <w:szCs w:val="18"/>
                <w:lang w:val="pt-PT"/>
              </w:rPr>
              <w:t>3.1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 do Aviso)</w:t>
            </w:r>
          </w:p>
        </w:tc>
      </w:tr>
      <w:tr w:rsidR="00EC732D" w:rsidRPr="00873E92" w14:paraId="0618BAAD" w14:textId="77777777" w:rsidTr="00A05769">
        <w:trPr>
          <w:trHeight w:val="1343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E0894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3886FD2" w14:textId="42112174"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painéis solares térmicos para produção de água quente sanitária</w:t>
            </w:r>
            <w:r w:rsidR="00B95224">
              <w:rPr>
                <w:rFonts w:cs="Arial"/>
                <w:sz w:val="18"/>
                <w:szCs w:val="18"/>
                <w:lang w:val="pt-PT"/>
              </w:rPr>
              <w:t xml:space="preserve"> e </w:t>
            </w:r>
            <w:r w:rsidR="00B95224" w:rsidRPr="00F17985">
              <w:rPr>
                <w:rFonts w:cs="Arial"/>
                <w:sz w:val="18"/>
                <w:lang w:val="pt-PT"/>
              </w:rPr>
              <w:t>climatização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;</w:t>
            </w:r>
          </w:p>
          <w:p w14:paraId="3436A20F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EF3D9F7" w14:textId="24BCED03"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7C6410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2B3A64EF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BB7AE3B" w14:textId="77777777" w:rsidR="00832D6B" w:rsidRPr="000F3AA4" w:rsidRDefault="00832D6B" w:rsidP="00832D6B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  <w:p w14:paraId="238EE36E" w14:textId="77777777" w:rsidR="00832D6B" w:rsidRDefault="00832D6B" w:rsidP="003E165C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36C0DF8" w14:textId="53B5B301" w:rsidR="00EC732D" w:rsidRPr="001407FE" w:rsidRDefault="007C6410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O</w:t>
            </w:r>
            <w:r w:rsidRPr="003E165C">
              <w:rPr>
                <w:rFonts w:cs="Arial"/>
                <w:sz w:val="18"/>
                <w:szCs w:val="18"/>
                <w:lang w:val="pt-PT"/>
              </w:rPr>
              <w:t xml:space="preserve">s sistemas solares térmicos a instalar devem possuir </w:t>
            </w:r>
            <w:r w:rsidRPr="00AE0BFB">
              <w:rPr>
                <w:rFonts w:cs="Arial"/>
                <w:i/>
                <w:sz w:val="18"/>
                <w:szCs w:val="18"/>
                <w:lang w:val="pt-PT"/>
              </w:rPr>
              <w:t>Solar Keymark</w:t>
            </w:r>
            <w:r w:rsidRPr="003E165C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300823">
              <w:rPr>
                <w:rFonts w:cs="Arial"/>
                <w:sz w:val="18"/>
                <w:szCs w:val="18"/>
                <w:lang w:val="pt-PT"/>
              </w:rPr>
              <w:t>ou a</w:t>
            </w:r>
            <w:r w:rsidR="00C330DC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Pr="003E165C">
              <w:rPr>
                <w:rFonts w:cs="Arial"/>
                <w:sz w:val="18"/>
                <w:szCs w:val="18"/>
                <w:lang w:val="pt-PT"/>
              </w:rPr>
              <w:t xml:space="preserve">marcação CE. </w:t>
            </w:r>
          </w:p>
          <w:p w14:paraId="36B71049" w14:textId="07CAEE7E" w:rsidR="00EC732D" w:rsidRPr="00873E9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ABD635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7F8927E" w14:textId="5461BC5A" w:rsidR="00EC732D" w:rsidRPr="00F17985" w:rsidRDefault="00EC732D" w:rsidP="00F17985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painéis solares térmicos em coberturas, fachadas ou logradouros, destinados ao aquecimento das águas sanitárias</w:t>
            </w:r>
            <w:r w:rsidR="003C5459">
              <w:rPr>
                <w:rFonts w:ascii="Arial" w:hAnsi="Arial" w:cs="Arial"/>
                <w:sz w:val="18"/>
                <w:szCs w:val="18"/>
                <w:lang w:val="pt-PT"/>
              </w:rPr>
              <w:t xml:space="preserve"> e </w:t>
            </w:r>
            <w:r w:rsidR="00F16B28">
              <w:rPr>
                <w:rFonts w:ascii="Arial" w:hAnsi="Arial" w:cs="Arial"/>
                <w:sz w:val="18"/>
                <w:szCs w:val="18"/>
                <w:lang w:val="pt-PT"/>
              </w:rPr>
              <w:t xml:space="preserve">à </w:t>
            </w:r>
            <w:r w:rsidR="003C5459">
              <w:rPr>
                <w:rFonts w:ascii="Arial" w:hAnsi="Arial" w:cs="Arial"/>
                <w:sz w:val="18"/>
                <w:szCs w:val="18"/>
                <w:lang w:val="pt-PT"/>
              </w:rPr>
              <w:t>climatização</w:t>
            </w: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</w:tr>
      <w:tr w:rsidR="00EC732D" w:rsidRPr="00873E92" w14:paraId="11678853" w14:textId="77777777" w:rsidTr="00A05769">
        <w:trPr>
          <w:trHeight w:val="1342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6711C" w14:textId="77777777" w:rsidR="00EC732D" w:rsidRPr="00551F85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B2353D" w14:textId="77777777"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07B11D96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0C8AE5A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1DD588A4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5ADDFE09" w14:textId="771195D8" w:rsidR="00EC732D" w:rsidRPr="00EC732D" w:rsidRDefault="00653D0C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“</w:t>
            </w:r>
            <w:r w:rsidRPr="00653D0C">
              <w:rPr>
                <w:rFonts w:cs="Arial"/>
                <w:sz w:val="18"/>
                <w:szCs w:val="18"/>
                <w:lang w:val="pt-PT"/>
              </w:rPr>
              <w:t>Painéis solares térmicos para produção de AQS</w:t>
            </w:r>
            <w:r w:rsidR="00EC732D">
              <w:rPr>
                <w:rFonts w:cs="Arial"/>
                <w:sz w:val="18"/>
                <w:szCs w:val="18"/>
                <w:lang w:val="pt-PT"/>
              </w:rPr>
              <w:t xml:space="preserve">”, cuja solução técnica se enquadre </w:t>
            </w:r>
            <w:r w:rsidR="00EC732D" w:rsidRPr="00EC732D">
              <w:rPr>
                <w:rFonts w:cs="Arial"/>
                <w:sz w:val="18"/>
                <w:szCs w:val="18"/>
                <w:lang w:val="pt-PT"/>
              </w:rPr>
              <w:t>em “</w:t>
            </w:r>
            <w:r w:rsidR="00EC732D" w:rsidRPr="00EC732D">
              <w:rPr>
                <w:sz w:val="18"/>
                <w:szCs w:val="18"/>
                <w:lang w:val="pt-PT"/>
              </w:rPr>
              <w:t>Sistema solar de circulação forçada”</w:t>
            </w:r>
          </w:p>
        </w:tc>
      </w:tr>
      <w:tr w:rsidR="00EC732D" w:rsidRPr="00873E92" w14:paraId="0477DAE0" w14:textId="77777777" w:rsidTr="00A05769">
        <w:trPr>
          <w:trHeight w:val="207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1D6CA" w14:textId="7C91B8F3"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sistemas de produção de energia para autoconsumo a partir de fontes de energia renovável.</w:t>
            </w:r>
          </w:p>
          <w:p w14:paraId="59C9F1FA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354E18F" w14:textId="3DEBD049"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7C6410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5A5DE757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3DBE8344" w14:textId="77777777" w:rsidR="007C6410" w:rsidRPr="000F3AA4" w:rsidRDefault="007C6410" w:rsidP="007C6410">
            <w:pPr>
              <w:ind w:left="0"/>
              <w:rPr>
                <w:iCs/>
                <w:sz w:val="18"/>
                <w:lang w:val="pt-PT"/>
              </w:rPr>
            </w:pPr>
            <w:r w:rsidRPr="000F3AA4">
              <w:rPr>
                <w:iCs/>
                <w:sz w:val="18"/>
                <w:lang w:val="pt-PT"/>
              </w:rPr>
              <w:t>Os requisitos legais em vigor aplicáveis à tipologia de operação a implementar e edifício a intervencionar.</w:t>
            </w:r>
          </w:p>
          <w:p w14:paraId="59DE3C5C" w14:textId="77777777" w:rsidR="007C6410" w:rsidRDefault="007C6410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06273A1C" w14:textId="669B3962" w:rsidR="00EC732D" w:rsidRPr="00873E92" w:rsidRDefault="008D42E8" w:rsidP="008D42E8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B35B93">
              <w:rPr>
                <w:rFonts w:cs="Arial"/>
                <w:sz w:val="18"/>
                <w:szCs w:val="18"/>
                <w:lang w:val="pt-PT"/>
              </w:rPr>
              <w:t>A intervenção deverá cumprir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, sempre que aplicável, </w:t>
            </w:r>
            <w:r w:rsidRPr="00B35B93">
              <w:rPr>
                <w:rFonts w:cs="Arial"/>
                <w:sz w:val="18"/>
                <w:szCs w:val="18"/>
                <w:lang w:val="pt-PT"/>
              </w:rPr>
              <w:t>com os requisitos do Decreto-Lei n.º 153/2014 de 20 de outubro</w:t>
            </w:r>
            <w:r>
              <w:rPr>
                <w:rFonts w:cs="Arial"/>
                <w:sz w:val="18"/>
                <w:szCs w:val="18"/>
                <w:lang w:val="pt-PT"/>
              </w:rPr>
              <w:t>: n</w:t>
            </w:r>
            <w:r w:rsidRPr="00130874">
              <w:rPr>
                <w:rFonts w:cs="Arial"/>
                <w:sz w:val="18"/>
                <w:szCs w:val="18"/>
                <w:lang w:val="pt-PT"/>
              </w:rPr>
              <w:t>o caso de sistemas de produção de energia elétrica para autoconsumo, só são admitidas como elegíveis Unidades de Produção de Autoconsumo (UPAC) tal como definido no normativo legal aplicável</w:t>
            </w:r>
            <w:r w:rsidRPr="00D31CD8">
              <w:rPr>
                <w:rFonts w:cs="Arial"/>
                <w:sz w:val="16"/>
                <w:szCs w:val="18"/>
                <w:vertAlign w:val="superscript"/>
              </w:rPr>
              <w:footnoteReference w:id="1"/>
            </w:r>
            <w:r w:rsidRPr="00130874">
              <w:rPr>
                <w:rFonts w:cs="Arial"/>
                <w:sz w:val="18"/>
                <w:szCs w:val="18"/>
                <w:lang w:val="pt-PT"/>
              </w:rPr>
              <w:t>. Estas unidades devem ser dimensionadas de forma a garantir a aproximação da energia elétrica produzida com a quantidade de energia elétrica consumida na instalação elétrica de utilização, sem prejuízo da possibilidade legal de ligar à rede e exportar para a RESP a energia elétrica produzida remanescente, a qual pode ser objeto de contrato de venda com o comercializador de último recurso, nas condições definidas nos termos artigo 23.º do Decreto-Lei n.º 153/2014</w:t>
            </w:r>
            <w:r>
              <w:rPr>
                <w:rFonts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296D2C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1623BA9" w14:textId="77777777" w:rsidR="00EC732D" w:rsidRPr="006235D6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unidades de produção para autoconsumo baseadas em tecnologias de produção renováveis, a instalar na cobertura, fachada, interior ou logradouro do edifício, que permitam uma associação a cada fração do edifício (se aplicável), bem como às partes comuns, permitindo o consumo de energia em cada uma dessas partes do edifício.</w:t>
            </w:r>
          </w:p>
          <w:p w14:paraId="506B97F6" w14:textId="77777777" w:rsidR="008C5FC7" w:rsidRDefault="008C5FC7" w:rsidP="008C5FC7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6235D6">
              <w:rPr>
                <w:rFonts w:cs="Arial"/>
                <w:sz w:val="18"/>
                <w:szCs w:val="18"/>
                <w:lang w:val="pt-PT"/>
              </w:rPr>
              <w:t xml:space="preserve">A despesa elegível com investimento em produção de energia elétrica para autoconsumo a partir de fontes de energias renováveis está limitada a 30% do montante </w:t>
            </w:r>
            <w:r>
              <w:rPr>
                <w:rFonts w:cs="Arial"/>
                <w:sz w:val="18"/>
                <w:szCs w:val="18"/>
                <w:lang w:val="pt-PT"/>
              </w:rPr>
              <w:t>do I</w:t>
            </w:r>
            <w:r w:rsidRPr="006235D6">
              <w:rPr>
                <w:rFonts w:cs="Arial"/>
                <w:sz w:val="18"/>
                <w:szCs w:val="18"/>
                <w:lang w:val="pt-PT"/>
              </w:rPr>
              <w:t xml:space="preserve">nvestimento 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total </w:t>
            </w:r>
            <w:r w:rsidRPr="006235D6">
              <w:rPr>
                <w:rFonts w:cs="Arial"/>
                <w:sz w:val="18"/>
                <w:szCs w:val="18"/>
                <w:lang w:val="pt-PT"/>
              </w:rPr>
              <w:t>elegível da candidatura</w:t>
            </w:r>
            <w:r>
              <w:rPr>
                <w:rFonts w:cs="Arial"/>
                <w:sz w:val="18"/>
                <w:szCs w:val="18"/>
                <w:lang w:val="pt-PT"/>
              </w:rPr>
              <w:t>.</w:t>
            </w:r>
          </w:p>
          <w:p w14:paraId="40EFEF47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7514827" w14:textId="77777777" w:rsidR="00551F85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551F85">
              <w:rPr>
                <w:rFonts w:cs="Arial"/>
                <w:b/>
                <w:sz w:val="18"/>
                <w:szCs w:val="18"/>
                <w:lang w:val="pt-PT"/>
              </w:rPr>
              <w:t>Exemplos:</w:t>
            </w:r>
          </w:p>
          <w:p w14:paraId="59EB5A7B" w14:textId="77777777" w:rsidR="00551F85" w:rsidRDefault="00551F85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9ED0224" w14:textId="767A9B5C" w:rsidR="00EC732D" w:rsidRPr="006235D6" w:rsidRDefault="00551F85" w:rsidP="008C5FC7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</w:t>
            </w:r>
            <w:r w:rsidR="00EC732D" w:rsidRPr="006235D6">
              <w:rPr>
                <w:rFonts w:cs="Arial"/>
                <w:sz w:val="18"/>
                <w:szCs w:val="18"/>
                <w:lang w:val="pt-PT"/>
              </w:rPr>
              <w:t>ainéis solares, aerogeradores, sistemas de produção de energia a partir de biomassa (como recuperadores de calor) entre outros sistemas e equipamentos de produção de energia a partir de fontes renováveis.</w:t>
            </w:r>
          </w:p>
        </w:tc>
      </w:tr>
      <w:tr w:rsidR="00EC732D" w:rsidRPr="00873E92" w14:paraId="7D827D05" w14:textId="77777777" w:rsidTr="00A05769">
        <w:trPr>
          <w:trHeight w:val="2070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035251" w14:textId="77777777" w:rsidR="00EC732D" w:rsidRPr="0028238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840A4" w14:textId="77777777"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1F1484A9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131F9E5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254CB05E" w14:textId="77777777"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479BE32" w14:textId="5E1CFE64" w:rsidR="00EC732D" w:rsidRP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“Sistemas de produção de energia</w:t>
            </w:r>
            <w:r>
              <w:rPr>
                <w:rFonts w:cs="Arial"/>
                <w:sz w:val="18"/>
                <w:szCs w:val="18"/>
                <w:lang w:val="pt-PT"/>
              </w:rPr>
              <w:t>”</w:t>
            </w:r>
          </w:p>
        </w:tc>
      </w:tr>
    </w:tbl>
    <w:p w14:paraId="3049848D" w14:textId="6375E58D" w:rsidR="00B35B93" w:rsidRDefault="00B35B93"/>
    <w:p w14:paraId="3CF44982" w14:textId="77777777" w:rsidR="00B35B93" w:rsidRDefault="00B35B93">
      <w:pPr>
        <w:spacing w:after="160" w:line="259" w:lineRule="auto"/>
        <w:ind w:left="0"/>
      </w:pPr>
      <w:r>
        <w:br w:type="page"/>
      </w:r>
    </w:p>
    <w:tbl>
      <w:tblPr>
        <w:tblStyle w:val="Tabelacomgrelha2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8788"/>
      </w:tblGrid>
      <w:tr w:rsidR="00323A05" w:rsidRPr="00873E92" w14:paraId="7F7EA06C" w14:textId="77777777" w:rsidTr="00A337BD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14:paraId="6A019BCC" w14:textId="2E08A557" w:rsidR="00323A05" w:rsidRPr="00337294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 w:rsidRPr="00337294"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Requisitos das medidas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C2D552" w14:textId="77777777"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Despesas Elegíveis</w:t>
            </w:r>
          </w:p>
        </w:tc>
      </w:tr>
      <w:tr w:rsidR="00EC732D" w:rsidRPr="00873E92" w14:paraId="31CF1B0A" w14:textId="77777777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257358" w14:textId="6B891F08" w:rsidR="00EC732D" w:rsidRPr="00156787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56787">
              <w:rPr>
                <w:rFonts w:cs="Arial"/>
                <w:b/>
                <w:sz w:val="18"/>
                <w:szCs w:val="18"/>
                <w:lang w:val="pt-PT"/>
              </w:rPr>
              <w:t>c) Auditorias, estudos, diagnósticos e análises energéticas necessários à realização dos investimentos, e à implementação de Planos de Ação de eficiência energética bem como a avaliação «ex-post» independente que permita a avaliação e o acompanhamento do desempenho e da eficiência energética do investimento</w:t>
            </w:r>
          </w:p>
          <w:p w14:paraId="43305F91" w14:textId="1655902F" w:rsidR="00EC732D" w:rsidRPr="00156787" w:rsidRDefault="00EC732D" w:rsidP="00EC732D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>
              <w:rPr>
                <w:rFonts w:cs="Arial"/>
                <w:sz w:val="18"/>
                <w:szCs w:val="18"/>
                <w:lang w:val="pt-PT"/>
              </w:rPr>
              <w:t>: alínea c) do ponto 2.1 do Aviso)</w:t>
            </w:r>
          </w:p>
        </w:tc>
      </w:tr>
      <w:tr w:rsidR="00337294" w:rsidRPr="00873E92" w14:paraId="3D2F706D" w14:textId="77777777" w:rsidTr="00337294">
        <w:trPr>
          <w:trHeight w:val="2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28137" w14:textId="77777777" w:rsidR="00337294" w:rsidRDefault="00337294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Elaboração e emissão de certificado energético no âmbito do SCE, devidamente acompanhado do Relatório de Auditoria Energética, que caracterize o cenário de base e detalhe as medidas de eficiência energética que serão tidas em conta no âmbito da candidatura.</w:t>
            </w:r>
          </w:p>
          <w:p w14:paraId="3403FBF0" w14:textId="77777777" w:rsidR="00337294" w:rsidRDefault="00337294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17E501AD" w14:textId="718C9331" w:rsidR="00337294" w:rsidRPr="001407FE" w:rsidRDefault="00337294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</w:t>
            </w:r>
            <w:r w:rsidR="007C6410">
              <w:rPr>
                <w:rFonts w:cs="Arial"/>
                <w:b/>
                <w:sz w:val="18"/>
                <w:szCs w:val="18"/>
                <w:lang w:val="pt-PT"/>
              </w:rPr>
              <w:t xml:space="preserve"> aplicáveis</w:t>
            </w: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14:paraId="477E1B5F" w14:textId="77777777" w:rsidR="00337294" w:rsidRDefault="00337294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2A466EB9" w14:textId="3026C288" w:rsidR="00337294" w:rsidRPr="001407FE" w:rsidRDefault="00337294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No âmbito do Sistema de Certificação de Edifícios, </w:t>
            </w:r>
            <w:r w:rsidRPr="001407FE">
              <w:rPr>
                <w:rFonts w:cs="Arial"/>
                <w:sz w:val="18"/>
                <w:szCs w:val="18"/>
                <w:lang w:val="pt-PT"/>
              </w:rPr>
              <w:t>Decreto-Lei n.º 118/2013, de 20 de agosto, na sua mais recente redação.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126EBE" w14:textId="62B31EF6" w:rsidR="00337294" w:rsidRPr="00156787" w:rsidRDefault="00337294" w:rsidP="00EC732D">
            <w:pPr>
              <w:spacing w:before="60"/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Relativamente à avaliação </w:t>
            </w:r>
            <w:r w:rsidRPr="00156787">
              <w:rPr>
                <w:rFonts w:cs="Arial"/>
                <w:b/>
                <w:i/>
                <w:sz w:val="18"/>
                <w:szCs w:val="18"/>
                <w:lang w:val="pt-PT"/>
              </w:rPr>
              <w:t>“ex-ante”</w:t>
            </w:r>
          </w:p>
        </w:tc>
      </w:tr>
      <w:tr w:rsidR="00337294" w:rsidRPr="00873E92" w14:paraId="1ED924DF" w14:textId="77777777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14:paraId="5FF8D3BF" w14:textId="77777777" w:rsidR="00337294" w:rsidRPr="00156787" w:rsidRDefault="00337294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bottom w:val="nil"/>
              <w:right w:val="single" w:sz="12" w:space="0" w:color="auto"/>
            </w:tcBorders>
            <w:vAlign w:val="center"/>
          </w:tcPr>
          <w:p w14:paraId="746E0237" w14:textId="77777777" w:rsidR="00337294" w:rsidRDefault="00337294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14:paraId="1150C60A" w14:textId="48E63A3D" w:rsidR="00337294" w:rsidRPr="00551F85" w:rsidRDefault="00337294" w:rsidP="00551F85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a atualização do certificado energético para o atual referencial (de 2016);</w:t>
            </w:r>
          </w:p>
          <w:p w14:paraId="67E03188" w14:textId="10E545DC" w:rsidR="00337294" w:rsidRPr="00156787" w:rsidRDefault="00337294" w:rsidP="00551F85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o processo de certificação energética nos casos em que não constitua uma obrigatoriedade legal para os edifícios a intervencionar.</w:t>
            </w:r>
          </w:p>
        </w:tc>
      </w:tr>
      <w:tr w:rsidR="00337294" w:rsidRPr="00873E92" w14:paraId="2AA84A4A" w14:textId="77777777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14:paraId="0B683929" w14:textId="77777777" w:rsidR="00337294" w:rsidRPr="00156787" w:rsidRDefault="00337294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top w:val="nil"/>
              <w:right w:val="single" w:sz="12" w:space="0" w:color="auto"/>
            </w:tcBorders>
            <w:vAlign w:val="center"/>
          </w:tcPr>
          <w:p w14:paraId="4A4E0CAA" w14:textId="77777777" w:rsidR="00337294" w:rsidRDefault="00337294" w:rsidP="00EC732D">
            <w:pPr>
              <w:ind w:left="0"/>
              <w:jc w:val="center"/>
              <w:rPr>
                <w:b/>
                <w:sz w:val="18"/>
                <w:szCs w:val="18"/>
                <w:lang w:val="pt-PT"/>
              </w:rPr>
            </w:pPr>
          </w:p>
          <w:p w14:paraId="2F48B79E" w14:textId="4A6024AB" w:rsidR="00337294" w:rsidRDefault="00337294" w:rsidP="00EC732D">
            <w:pPr>
              <w:ind w:left="0"/>
              <w:rPr>
                <w:sz w:val="18"/>
                <w:szCs w:val="18"/>
                <w:lang w:val="pt-PT"/>
              </w:rPr>
            </w:pPr>
            <w:r w:rsidRPr="005221E3">
              <w:rPr>
                <w:b/>
                <w:sz w:val="18"/>
                <w:szCs w:val="18"/>
                <w:lang w:val="pt-PT"/>
              </w:rPr>
              <w:t>Exemplos de operações não elegíveis (não exaustivo):</w:t>
            </w:r>
          </w:p>
          <w:p w14:paraId="65BFE002" w14:textId="77777777" w:rsidR="00337294" w:rsidRDefault="00337294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14:paraId="38658B93" w14:textId="522927F7" w:rsidR="00337294" w:rsidRPr="00156787" w:rsidRDefault="00337294" w:rsidP="00B35B93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o processo de certificação energética em que tal constitua uma obrigatoriedade legal para os edifícios a intervencionar.</w:t>
            </w:r>
          </w:p>
        </w:tc>
      </w:tr>
      <w:tr w:rsidR="00337294" w:rsidRPr="00873E92" w14:paraId="445BB8A9" w14:textId="77777777" w:rsidTr="00337294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14:paraId="7CD59E3A" w14:textId="1536C217" w:rsidR="00337294" w:rsidRPr="00873E92" w:rsidRDefault="00337294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240EE2" w14:textId="38FC9B64" w:rsidR="00337294" w:rsidRPr="00156787" w:rsidRDefault="00337294" w:rsidP="00EC732D">
            <w:pPr>
              <w:spacing w:before="60"/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Relativamente à avaliação </w:t>
            </w:r>
            <w:r w:rsidRPr="00156787">
              <w:rPr>
                <w:rFonts w:cs="Arial"/>
                <w:b/>
                <w:i/>
                <w:sz w:val="18"/>
                <w:szCs w:val="18"/>
                <w:lang w:val="pt-PT"/>
              </w:rPr>
              <w:t>“ex-post”</w:t>
            </w:r>
          </w:p>
        </w:tc>
      </w:tr>
      <w:tr w:rsidR="00C73D7C" w:rsidRPr="00873E92" w14:paraId="53547AA8" w14:textId="77777777" w:rsidTr="000F3AA4">
        <w:trPr>
          <w:trHeight w:val="878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14:paraId="4EA5B326" w14:textId="1AA7FE83" w:rsidR="00C73D7C" w:rsidRPr="00156787" w:rsidRDefault="00C73D7C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  <w:vAlign w:val="center"/>
          </w:tcPr>
          <w:p w14:paraId="3B57EA06" w14:textId="77777777" w:rsidR="00C73D7C" w:rsidRDefault="00C73D7C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14:paraId="45D68FB9" w14:textId="3C7B4D8A" w:rsidR="00C73D7C" w:rsidRPr="008D42E8" w:rsidRDefault="00C73D7C" w:rsidP="008D42E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a atualização do certificado energético para a situação após a conclusão da operação.</w:t>
            </w:r>
          </w:p>
        </w:tc>
      </w:tr>
      <w:tr w:rsidR="00337294" w:rsidRPr="00873E92" w14:paraId="3ECACED3" w14:textId="77777777" w:rsidTr="00337294">
        <w:trPr>
          <w:trHeight w:val="913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D0E57A" w14:textId="77777777" w:rsidR="00337294" w:rsidRPr="00620AF5" w:rsidRDefault="00337294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3749E" w14:textId="77777777" w:rsidR="00337294" w:rsidRDefault="00337294" w:rsidP="00337294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</w:p>
          <w:p w14:paraId="4A20BBD2" w14:textId="77777777" w:rsidR="00337294" w:rsidRPr="00EC732D" w:rsidRDefault="00337294" w:rsidP="00337294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14:paraId="64D24FD0" w14:textId="77777777" w:rsidR="00337294" w:rsidRDefault="00337294" w:rsidP="00337294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734CC74F" w14:textId="77777777" w:rsidR="00337294" w:rsidRDefault="00337294" w:rsidP="00337294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14:paraId="63871F5A" w14:textId="77777777" w:rsidR="00337294" w:rsidRDefault="00337294" w:rsidP="00337294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14:paraId="4C76BBC1" w14:textId="77777777" w:rsidR="00337294" w:rsidRDefault="00337294" w:rsidP="00337294">
            <w:pPr>
              <w:ind w:left="0"/>
              <w:rPr>
                <w:sz w:val="18"/>
                <w:szCs w:val="18"/>
                <w:lang w:val="pt-PT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</w:t>
            </w:r>
            <w:r>
              <w:rPr>
                <w:rFonts w:cs="Arial"/>
                <w:sz w:val="18"/>
                <w:szCs w:val="18"/>
                <w:lang w:val="pt-PT"/>
              </w:rPr>
              <w:t>Auditorias energéticas</w:t>
            </w:r>
            <w:r w:rsidRPr="00EC732D">
              <w:rPr>
                <w:sz w:val="18"/>
                <w:szCs w:val="18"/>
                <w:lang w:val="pt-PT"/>
              </w:rPr>
              <w:t>”</w:t>
            </w:r>
          </w:p>
          <w:p w14:paraId="0E005BB4" w14:textId="3559AE0B" w:rsidR="00337294" w:rsidRPr="00337294" w:rsidRDefault="00337294" w:rsidP="00337294">
            <w:pPr>
              <w:ind w:left="0"/>
              <w:rPr>
                <w:b/>
                <w:sz w:val="18"/>
                <w:szCs w:val="18"/>
                <w:lang w:val="pt-PT"/>
              </w:rPr>
            </w:pPr>
          </w:p>
        </w:tc>
      </w:tr>
    </w:tbl>
    <w:p w14:paraId="29B1CB22" w14:textId="61E9647A" w:rsidR="003A3A9F" w:rsidRPr="00505BC6" w:rsidRDefault="003A3A9F" w:rsidP="00337294">
      <w:pPr>
        <w:tabs>
          <w:tab w:val="left" w:pos="-2268"/>
        </w:tabs>
        <w:spacing w:line="360" w:lineRule="auto"/>
        <w:ind w:left="0"/>
        <w:outlineLvl w:val="0"/>
        <w:rPr>
          <w:rFonts w:eastAsia="Calibri" w:cs="Arial"/>
          <w:bCs/>
          <w:spacing w:val="0"/>
          <w:szCs w:val="22"/>
        </w:rPr>
      </w:pPr>
    </w:p>
    <w:sectPr w:rsidR="003A3A9F" w:rsidRPr="00505BC6" w:rsidSect="00E67CFA">
      <w:headerReference w:type="default" r:id="rId8"/>
      <w:footerReference w:type="default" r:id="rId9"/>
      <w:headerReference w:type="first" r:id="rId10"/>
      <w:pgSz w:w="16838" w:h="11906" w:orient="landscape"/>
      <w:pgMar w:top="1452" w:right="2268" w:bottom="1418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900BA" w14:textId="77777777" w:rsidR="00866E84" w:rsidRDefault="00866E84">
      <w:r>
        <w:separator/>
      </w:r>
    </w:p>
  </w:endnote>
  <w:endnote w:type="continuationSeparator" w:id="0">
    <w:p w14:paraId="45D25B21" w14:textId="77777777" w:rsidR="00866E84" w:rsidRDefault="008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551149434"/>
      <w:docPartObj>
        <w:docPartGallery w:val="Page Numbers (Bottom of Page)"/>
        <w:docPartUnique/>
      </w:docPartObj>
    </w:sdtPr>
    <w:sdtEndPr/>
    <w:sdtContent>
      <w:p w14:paraId="1139628C" w14:textId="19DB256D" w:rsidR="00A337BD" w:rsidRPr="008D42E8" w:rsidRDefault="009923F2" w:rsidP="009923F2">
        <w:pPr>
          <w:pStyle w:val="Rodap"/>
          <w:jc w:val="left"/>
          <w:rPr>
            <w:sz w:val="16"/>
          </w:rPr>
        </w:pPr>
        <w:r w:rsidRPr="008D42E8">
          <w:rPr>
            <w:sz w:val="16"/>
          </w:rPr>
          <w:t>Anexo I</w:t>
        </w:r>
        <w:r w:rsidR="00200234">
          <w:rPr>
            <w:sz w:val="16"/>
          </w:rPr>
          <w:tab/>
        </w:r>
        <w:r w:rsidRPr="008D42E8">
          <w:rPr>
            <w:sz w:val="16"/>
          </w:rPr>
          <w:tab/>
        </w:r>
        <w:r w:rsidRPr="008D42E8">
          <w:rPr>
            <w:sz w:val="16"/>
          </w:rPr>
          <w:tab/>
        </w:r>
        <w:r w:rsidRPr="008D42E8">
          <w:rPr>
            <w:sz w:val="16"/>
          </w:rPr>
          <w:tab/>
        </w:r>
        <w:r w:rsidRPr="008D42E8">
          <w:rPr>
            <w:sz w:val="16"/>
          </w:rPr>
          <w:tab/>
        </w:r>
        <w:r w:rsidRPr="008D42E8">
          <w:rPr>
            <w:sz w:val="16"/>
          </w:rPr>
          <w:tab/>
        </w:r>
        <w:r w:rsidRPr="008D42E8">
          <w:rPr>
            <w:sz w:val="16"/>
          </w:rPr>
          <w:tab/>
        </w:r>
        <w:r w:rsidR="00A337BD" w:rsidRPr="008D42E8">
          <w:rPr>
            <w:sz w:val="16"/>
          </w:rPr>
          <w:t xml:space="preserve">Página | </w:t>
        </w:r>
        <w:r w:rsidR="00A337BD" w:rsidRPr="008D42E8">
          <w:rPr>
            <w:sz w:val="16"/>
          </w:rPr>
          <w:fldChar w:fldCharType="begin"/>
        </w:r>
        <w:r w:rsidR="00A337BD" w:rsidRPr="008D42E8">
          <w:rPr>
            <w:sz w:val="16"/>
          </w:rPr>
          <w:instrText>PAGE   \* MERGEFORMAT</w:instrText>
        </w:r>
        <w:r w:rsidR="00A337BD" w:rsidRPr="008D42E8">
          <w:rPr>
            <w:sz w:val="16"/>
          </w:rPr>
          <w:fldChar w:fldCharType="separate"/>
        </w:r>
        <w:r w:rsidR="008D42E8">
          <w:rPr>
            <w:noProof/>
            <w:sz w:val="16"/>
          </w:rPr>
          <w:t>6</w:t>
        </w:r>
        <w:r w:rsidR="00A337BD" w:rsidRPr="008D42E8">
          <w:rPr>
            <w:sz w:val="16"/>
          </w:rPr>
          <w:fldChar w:fldCharType="end"/>
        </w:r>
      </w:p>
    </w:sdtContent>
  </w:sdt>
  <w:p w14:paraId="44FBEA00" w14:textId="0E4892EE" w:rsidR="00A337BD" w:rsidRPr="00A25913" w:rsidRDefault="00A337BD" w:rsidP="00E772FE">
    <w:pPr>
      <w:pStyle w:val="Rodap"/>
      <w:spacing w:before="0" w:line="240" w:lineRule="auto"/>
      <w:ind w:left="833"/>
      <w:jc w:val="right"/>
      <w:rPr>
        <w:rFonts w:asciiTheme="minorHAnsi" w:hAnsiTheme="min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C55E" w14:textId="77777777" w:rsidR="00866E84" w:rsidRDefault="00866E84">
      <w:r>
        <w:separator/>
      </w:r>
    </w:p>
  </w:footnote>
  <w:footnote w:type="continuationSeparator" w:id="0">
    <w:p w14:paraId="62667DCC" w14:textId="77777777" w:rsidR="00866E84" w:rsidRDefault="00866E84">
      <w:r>
        <w:continuationSeparator/>
      </w:r>
    </w:p>
  </w:footnote>
  <w:footnote w:id="1">
    <w:p w14:paraId="6FB0C131" w14:textId="77777777" w:rsidR="008D42E8" w:rsidRPr="00130874" w:rsidRDefault="008D42E8" w:rsidP="008D42E8">
      <w:pPr>
        <w:pStyle w:val="Textodenotaderodap"/>
        <w:rPr>
          <w:rFonts w:ascii="Arial" w:hAnsi="Arial" w:cs="Arial"/>
          <w:sz w:val="16"/>
        </w:rPr>
      </w:pPr>
      <w:r w:rsidRPr="00130874">
        <w:rPr>
          <w:rStyle w:val="Refdenotaderodap"/>
          <w:rFonts w:ascii="Arial" w:hAnsi="Arial" w:cs="Arial"/>
          <w:sz w:val="16"/>
        </w:rPr>
        <w:footnoteRef/>
      </w:r>
      <w:r w:rsidRPr="00130874">
        <w:rPr>
          <w:rFonts w:ascii="Arial" w:hAnsi="Arial" w:cs="Arial"/>
          <w:sz w:val="16"/>
        </w:rPr>
        <w:t xml:space="preserve"> Decreto-Lei n.º 153/2014, de 20 de outubro, que estabelece o regime jurídico aplicável à produção de eletricidade, destinada ao autoconsumo na instalação de utilização associada à respetiva unidade produtora, com ou sem ligação à rede elétrica pública, baseada em tecnologias de produção renováveis ou não renováveis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700C" w14:textId="2940A266" w:rsidR="00A337BD" w:rsidRDefault="00E67CFA" w:rsidP="00E772FE">
    <w:pPr>
      <w:pStyle w:val="Cabealho"/>
      <w:tabs>
        <w:tab w:val="clear" w:pos="4320"/>
      </w:tabs>
      <w:spacing w:before="20" w:after="20"/>
      <w:ind w:left="-142" w:firstLine="14"/>
      <w:jc w:val="left"/>
      <w:rPr>
        <w:rStyle w:val="MessageHeaderLabel"/>
        <w:b w:val="0"/>
        <w:szCs w:val="18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3E949D78" wp14:editId="430E76B3">
          <wp:simplePos x="0" y="0"/>
          <wp:positionH relativeFrom="column">
            <wp:posOffset>-81280</wp:posOffset>
          </wp:positionH>
          <wp:positionV relativeFrom="paragraph">
            <wp:posOffset>16510</wp:posOffset>
          </wp:positionV>
          <wp:extent cx="942975" cy="579064"/>
          <wp:effectExtent l="0" t="0" r="0" b="0"/>
          <wp:wrapTopAndBottom/>
          <wp:docPr id="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79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6E40" w14:textId="77777777" w:rsidR="00A337BD" w:rsidRDefault="00A337BD" w:rsidP="00E772FE">
    <w:pPr>
      <w:pStyle w:val="Cabealho"/>
      <w:tabs>
        <w:tab w:val="clear" w:pos="4320"/>
        <w:tab w:val="clear" w:pos="8640"/>
      </w:tabs>
      <w:ind w:left="-142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831969A" wp14:editId="016B6DD0">
          <wp:simplePos x="0" y="0"/>
          <wp:positionH relativeFrom="column">
            <wp:posOffset>-970232</wp:posOffset>
          </wp:positionH>
          <wp:positionV relativeFrom="paragraph">
            <wp:posOffset>-193675</wp:posOffset>
          </wp:positionV>
          <wp:extent cx="7601803" cy="10752223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osta6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803" cy="10752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79B"/>
    <w:multiLevelType w:val="multilevel"/>
    <w:tmpl w:val="8D0A62F8"/>
    <w:lvl w:ilvl="0">
      <w:start w:val="1"/>
      <w:numFmt w:val="decimal"/>
      <w:pStyle w:val="Ttulo1"/>
      <w:lvlText w:val="%1."/>
      <w:lvlJc w:val="left"/>
      <w:pPr>
        <w:ind w:left="155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630" w:hanging="43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1440"/>
      </w:pPr>
      <w:rPr>
        <w:rFonts w:hint="default"/>
      </w:rPr>
    </w:lvl>
  </w:abstractNum>
  <w:abstractNum w:abstractNumId="1" w15:restartNumberingAfterBreak="0">
    <w:nsid w:val="213B1B64"/>
    <w:multiLevelType w:val="multilevel"/>
    <w:tmpl w:val="08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7B3E13"/>
    <w:multiLevelType w:val="hybridMultilevel"/>
    <w:tmpl w:val="2F66C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58A"/>
    <w:multiLevelType w:val="hybridMultilevel"/>
    <w:tmpl w:val="6F9417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023DC"/>
    <w:multiLevelType w:val="hybridMultilevel"/>
    <w:tmpl w:val="B8925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7247"/>
    <w:multiLevelType w:val="hybridMultilevel"/>
    <w:tmpl w:val="D92ADD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0A7D"/>
    <w:multiLevelType w:val="hybridMultilevel"/>
    <w:tmpl w:val="E9CA9C04"/>
    <w:lvl w:ilvl="0" w:tplc="D46E1D9A">
      <w:start w:val="1"/>
      <w:numFmt w:val="decimal"/>
      <w:pStyle w:val="Cabealho2"/>
      <w:lvlText w:val="1.%1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F7"/>
    <w:rsid w:val="000103A3"/>
    <w:rsid w:val="0003415A"/>
    <w:rsid w:val="000477EF"/>
    <w:rsid w:val="00052C74"/>
    <w:rsid w:val="00084B99"/>
    <w:rsid w:val="00090273"/>
    <w:rsid w:val="000C1320"/>
    <w:rsid w:val="000C34BE"/>
    <w:rsid w:val="000C5DF0"/>
    <w:rsid w:val="000D3306"/>
    <w:rsid w:val="000D7808"/>
    <w:rsid w:val="000E2564"/>
    <w:rsid w:val="000F3AA4"/>
    <w:rsid w:val="00100E31"/>
    <w:rsid w:val="00101510"/>
    <w:rsid w:val="00106B36"/>
    <w:rsid w:val="00121801"/>
    <w:rsid w:val="0012671A"/>
    <w:rsid w:val="00131125"/>
    <w:rsid w:val="001407FE"/>
    <w:rsid w:val="00141125"/>
    <w:rsid w:val="00155536"/>
    <w:rsid w:val="00156787"/>
    <w:rsid w:val="00157402"/>
    <w:rsid w:val="0017145C"/>
    <w:rsid w:val="0017202C"/>
    <w:rsid w:val="001731E6"/>
    <w:rsid w:val="00184016"/>
    <w:rsid w:val="001969D8"/>
    <w:rsid w:val="001A033F"/>
    <w:rsid w:val="001A1E75"/>
    <w:rsid w:val="001B60E9"/>
    <w:rsid w:val="001C1B40"/>
    <w:rsid w:val="001D1D46"/>
    <w:rsid w:val="001E6777"/>
    <w:rsid w:val="001E7313"/>
    <w:rsid w:val="001F3561"/>
    <w:rsid w:val="001F4C9F"/>
    <w:rsid w:val="00200180"/>
    <w:rsid w:val="00200234"/>
    <w:rsid w:val="00210603"/>
    <w:rsid w:val="00216E0F"/>
    <w:rsid w:val="00231E37"/>
    <w:rsid w:val="0023373D"/>
    <w:rsid w:val="0024566A"/>
    <w:rsid w:val="002550BE"/>
    <w:rsid w:val="00257D67"/>
    <w:rsid w:val="0026201E"/>
    <w:rsid w:val="0027322A"/>
    <w:rsid w:val="00276C2A"/>
    <w:rsid w:val="00282382"/>
    <w:rsid w:val="00284D18"/>
    <w:rsid w:val="00290815"/>
    <w:rsid w:val="00291324"/>
    <w:rsid w:val="002973A4"/>
    <w:rsid w:val="002A0BAE"/>
    <w:rsid w:val="002C4B46"/>
    <w:rsid w:val="002D0DB8"/>
    <w:rsid w:val="002D2E1E"/>
    <w:rsid w:val="002D66DD"/>
    <w:rsid w:val="002D75C0"/>
    <w:rsid w:val="002D76D0"/>
    <w:rsid w:val="002F45C2"/>
    <w:rsid w:val="002F4740"/>
    <w:rsid w:val="00300823"/>
    <w:rsid w:val="00305113"/>
    <w:rsid w:val="00323A05"/>
    <w:rsid w:val="00330093"/>
    <w:rsid w:val="00337294"/>
    <w:rsid w:val="0035065B"/>
    <w:rsid w:val="0035517E"/>
    <w:rsid w:val="00355309"/>
    <w:rsid w:val="0036193E"/>
    <w:rsid w:val="00365138"/>
    <w:rsid w:val="003A3A9F"/>
    <w:rsid w:val="003A45DB"/>
    <w:rsid w:val="003A77A8"/>
    <w:rsid w:val="003C1D81"/>
    <w:rsid w:val="003C5459"/>
    <w:rsid w:val="003E165C"/>
    <w:rsid w:val="003E2CD2"/>
    <w:rsid w:val="003F08B2"/>
    <w:rsid w:val="003F1B13"/>
    <w:rsid w:val="00403C55"/>
    <w:rsid w:val="00403CF9"/>
    <w:rsid w:val="004158E6"/>
    <w:rsid w:val="00425E81"/>
    <w:rsid w:val="00426024"/>
    <w:rsid w:val="00431BB5"/>
    <w:rsid w:val="00435433"/>
    <w:rsid w:val="00444067"/>
    <w:rsid w:val="004443A8"/>
    <w:rsid w:val="00446EA8"/>
    <w:rsid w:val="00453652"/>
    <w:rsid w:val="0046467C"/>
    <w:rsid w:val="0048203D"/>
    <w:rsid w:val="00486645"/>
    <w:rsid w:val="0049174B"/>
    <w:rsid w:val="004A7C9D"/>
    <w:rsid w:val="004C6C1E"/>
    <w:rsid w:val="004D206F"/>
    <w:rsid w:val="004D7E9B"/>
    <w:rsid w:val="004F14FB"/>
    <w:rsid w:val="004F3CB5"/>
    <w:rsid w:val="0050142D"/>
    <w:rsid w:val="005026CA"/>
    <w:rsid w:val="00505BC6"/>
    <w:rsid w:val="005152B8"/>
    <w:rsid w:val="005221E3"/>
    <w:rsid w:val="00526ADB"/>
    <w:rsid w:val="00532145"/>
    <w:rsid w:val="005463DE"/>
    <w:rsid w:val="00551F85"/>
    <w:rsid w:val="00557A88"/>
    <w:rsid w:val="00560AA1"/>
    <w:rsid w:val="005623DB"/>
    <w:rsid w:val="005722E2"/>
    <w:rsid w:val="00580B78"/>
    <w:rsid w:val="00583C04"/>
    <w:rsid w:val="00584BEE"/>
    <w:rsid w:val="00585829"/>
    <w:rsid w:val="005A4896"/>
    <w:rsid w:val="005B3172"/>
    <w:rsid w:val="005C4686"/>
    <w:rsid w:val="005C515F"/>
    <w:rsid w:val="005D266B"/>
    <w:rsid w:val="005D4EA0"/>
    <w:rsid w:val="005D7B54"/>
    <w:rsid w:val="005F6824"/>
    <w:rsid w:val="00601A01"/>
    <w:rsid w:val="00620AF5"/>
    <w:rsid w:val="006235D6"/>
    <w:rsid w:val="0063192C"/>
    <w:rsid w:val="00632E6F"/>
    <w:rsid w:val="006378A6"/>
    <w:rsid w:val="00643CF1"/>
    <w:rsid w:val="00645D0D"/>
    <w:rsid w:val="00653D0C"/>
    <w:rsid w:val="006560F9"/>
    <w:rsid w:val="0066377E"/>
    <w:rsid w:val="00665491"/>
    <w:rsid w:val="006818D3"/>
    <w:rsid w:val="006838A2"/>
    <w:rsid w:val="00683EFA"/>
    <w:rsid w:val="006863C6"/>
    <w:rsid w:val="0069683E"/>
    <w:rsid w:val="006A20D0"/>
    <w:rsid w:val="006A38C0"/>
    <w:rsid w:val="006B77B7"/>
    <w:rsid w:val="006C1622"/>
    <w:rsid w:val="006C7B8E"/>
    <w:rsid w:val="006E428E"/>
    <w:rsid w:val="006F59CD"/>
    <w:rsid w:val="006F785B"/>
    <w:rsid w:val="00702D92"/>
    <w:rsid w:val="00703EF6"/>
    <w:rsid w:val="007104FC"/>
    <w:rsid w:val="00710DDD"/>
    <w:rsid w:val="007218AD"/>
    <w:rsid w:val="007256F7"/>
    <w:rsid w:val="00727AF7"/>
    <w:rsid w:val="0073440E"/>
    <w:rsid w:val="00737491"/>
    <w:rsid w:val="007547B8"/>
    <w:rsid w:val="00775AFC"/>
    <w:rsid w:val="00776988"/>
    <w:rsid w:val="00776C48"/>
    <w:rsid w:val="0078180D"/>
    <w:rsid w:val="007822EA"/>
    <w:rsid w:val="007A06E6"/>
    <w:rsid w:val="007A49BF"/>
    <w:rsid w:val="007A591F"/>
    <w:rsid w:val="007C4B8B"/>
    <w:rsid w:val="007C6410"/>
    <w:rsid w:val="007C73AE"/>
    <w:rsid w:val="007D40C9"/>
    <w:rsid w:val="007D4DA1"/>
    <w:rsid w:val="007D6C18"/>
    <w:rsid w:val="007E3B6F"/>
    <w:rsid w:val="007E4F16"/>
    <w:rsid w:val="007E598C"/>
    <w:rsid w:val="007E7DF7"/>
    <w:rsid w:val="008012F7"/>
    <w:rsid w:val="0080250B"/>
    <w:rsid w:val="00807A6F"/>
    <w:rsid w:val="00813543"/>
    <w:rsid w:val="008167E1"/>
    <w:rsid w:val="00820CF2"/>
    <w:rsid w:val="00827F51"/>
    <w:rsid w:val="00832D6B"/>
    <w:rsid w:val="00836123"/>
    <w:rsid w:val="00840CE8"/>
    <w:rsid w:val="00842DC0"/>
    <w:rsid w:val="00844665"/>
    <w:rsid w:val="008518C3"/>
    <w:rsid w:val="00855D07"/>
    <w:rsid w:val="00863563"/>
    <w:rsid w:val="00866E84"/>
    <w:rsid w:val="008678F6"/>
    <w:rsid w:val="00873E92"/>
    <w:rsid w:val="00875439"/>
    <w:rsid w:val="00877EE0"/>
    <w:rsid w:val="00891641"/>
    <w:rsid w:val="008B2E67"/>
    <w:rsid w:val="008C0159"/>
    <w:rsid w:val="008C2C84"/>
    <w:rsid w:val="008C5EDB"/>
    <w:rsid w:val="008C5FC7"/>
    <w:rsid w:val="008D42E8"/>
    <w:rsid w:val="008D493F"/>
    <w:rsid w:val="008D54B7"/>
    <w:rsid w:val="008E7D51"/>
    <w:rsid w:val="009021E1"/>
    <w:rsid w:val="00920C6F"/>
    <w:rsid w:val="00924EE9"/>
    <w:rsid w:val="009255E1"/>
    <w:rsid w:val="00930001"/>
    <w:rsid w:val="00953659"/>
    <w:rsid w:val="009643AE"/>
    <w:rsid w:val="00970536"/>
    <w:rsid w:val="00973BD3"/>
    <w:rsid w:val="009923F2"/>
    <w:rsid w:val="00992B51"/>
    <w:rsid w:val="00995F0F"/>
    <w:rsid w:val="00997FD6"/>
    <w:rsid w:val="009A27CC"/>
    <w:rsid w:val="009A63DE"/>
    <w:rsid w:val="009D33DA"/>
    <w:rsid w:val="009D3550"/>
    <w:rsid w:val="009D3DFA"/>
    <w:rsid w:val="009F2BCD"/>
    <w:rsid w:val="009F2F22"/>
    <w:rsid w:val="00A00D98"/>
    <w:rsid w:val="00A05769"/>
    <w:rsid w:val="00A22AC0"/>
    <w:rsid w:val="00A337BD"/>
    <w:rsid w:val="00A363FC"/>
    <w:rsid w:val="00A45F88"/>
    <w:rsid w:val="00A4728D"/>
    <w:rsid w:val="00A527C4"/>
    <w:rsid w:val="00A544A0"/>
    <w:rsid w:val="00A564FE"/>
    <w:rsid w:val="00A8261E"/>
    <w:rsid w:val="00A905C4"/>
    <w:rsid w:val="00A95820"/>
    <w:rsid w:val="00A972F9"/>
    <w:rsid w:val="00AC00CA"/>
    <w:rsid w:val="00AC4497"/>
    <w:rsid w:val="00AC48DA"/>
    <w:rsid w:val="00AC6141"/>
    <w:rsid w:val="00AE1E4C"/>
    <w:rsid w:val="00AF44DC"/>
    <w:rsid w:val="00AF4F13"/>
    <w:rsid w:val="00AF620B"/>
    <w:rsid w:val="00AF7520"/>
    <w:rsid w:val="00B117F7"/>
    <w:rsid w:val="00B14684"/>
    <w:rsid w:val="00B174D6"/>
    <w:rsid w:val="00B35B93"/>
    <w:rsid w:val="00B50E30"/>
    <w:rsid w:val="00B61887"/>
    <w:rsid w:val="00B61E85"/>
    <w:rsid w:val="00B62165"/>
    <w:rsid w:val="00B630F5"/>
    <w:rsid w:val="00B73D7B"/>
    <w:rsid w:val="00B93286"/>
    <w:rsid w:val="00B95224"/>
    <w:rsid w:val="00BA2CE4"/>
    <w:rsid w:val="00BA5DF9"/>
    <w:rsid w:val="00BB331F"/>
    <w:rsid w:val="00BB3E47"/>
    <w:rsid w:val="00BB65BC"/>
    <w:rsid w:val="00BC26F9"/>
    <w:rsid w:val="00BC549F"/>
    <w:rsid w:val="00BD680D"/>
    <w:rsid w:val="00BE602B"/>
    <w:rsid w:val="00BF34AD"/>
    <w:rsid w:val="00C02877"/>
    <w:rsid w:val="00C169F4"/>
    <w:rsid w:val="00C27EA3"/>
    <w:rsid w:val="00C330DC"/>
    <w:rsid w:val="00C4040B"/>
    <w:rsid w:val="00C411D7"/>
    <w:rsid w:val="00C41FBF"/>
    <w:rsid w:val="00C536FF"/>
    <w:rsid w:val="00C575D7"/>
    <w:rsid w:val="00C57ADB"/>
    <w:rsid w:val="00C630AF"/>
    <w:rsid w:val="00C7325A"/>
    <w:rsid w:val="00C73D7C"/>
    <w:rsid w:val="00C819BC"/>
    <w:rsid w:val="00C96574"/>
    <w:rsid w:val="00C97957"/>
    <w:rsid w:val="00CA17E3"/>
    <w:rsid w:val="00CA4B28"/>
    <w:rsid w:val="00CB0F5C"/>
    <w:rsid w:val="00CB7504"/>
    <w:rsid w:val="00CC264C"/>
    <w:rsid w:val="00CC3100"/>
    <w:rsid w:val="00CD4B63"/>
    <w:rsid w:val="00CD5AE1"/>
    <w:rsid w:val="00CE4CA5"/>
    <w:rsid w:val="00CE720D"/>
    <w:rsid w:val="00CF29C4"/>
    <w:rsid w:val="00CF4B59"/>
    <w:rsid w:val="00CF6429"/>
    <w:rsid w:val="00D02DE0"/>
    <w:rsid w:val="00D04B8C"/>
    <w:rsid w:val="00D07E1C"/>
    <w:rsid w:val="00D107E9"/>
    <w:rsid w:val="00D13168"/>
    <w:rsid w:val="00D2332F"/>
    <w:rsid w:val="00D5401D"/>
    <w:rsid w:val="00D650F5"/>
    <w:rsid w:val="00D662D5"/>
    <w:rsid w:val="00D727F9"/>
    <w:rsid w:val="00D800B0"/>
    <w:rsid w:val="00D8587B"/>
    <w:rsid w:val="00DA4FF3"/>
    <w:rsid w:val="00DB61EB"/>
    <w:rsid w:val="00DC5B3F"/>
    <w:rsid w:val="00DC693B"/>
    <w:rsid w:val="00DE31C9"/>
    <w:rsid w:val="00DE3DC8"/>
    <w:rsid w:val="00DE442E"/>
    <w:rsid w:val="00DF0504"/>
    <w:rsid w:val="00DF196C"/>
    <w:rsid w:val="00DF2A9D"/>
    <w:rsid w:val="00E01B49"/>
    <w:rsid w:val="00E07A61"/>
    <w:rsid w:val="00E135B9"/>
    <w:rsid w:val="00E14ED2"/>
    <w:rsid w:val="00E20A71"/>
    <w:rsid w:val="00E249F9"/>
    <w:rsid w:val="00E46F06"/>
    <w:rsid w:val="00E63876"/>
    <w:rsid w:val="00E67650"/>
    <w:rsid w:val="00E67CFA"/>
    <w:rsid w:val="00E772FE"/>
    <w:rsid w:val="00E8737F"/>
    <w:rsid w:val="00E902E2"/>
    <w:rsid w:val="00EA4A5B"/>
    <w:rsid w:val="00EA5321"/>
    <w:rsid w:val="00EB674E"/>
    <w:rsid w:val="00EC732D"/>
    <w:rsid w:val="00ED14A8"/>
    <w:rsid w:val="00ED6D52"/>
    <w:rsid w:val="00EE286B"/>
    <w:rsid w:val="00F0347C"/>
    <w:rsid w:val="00F03D99"/>
    <w:rsid w:val="00F05119"/>
    <w:rsid w:val="00F1062F"/>
    <w:rsid w:val="00F12FCE"/>
    <w:rsid w:val="00F16B28"/>
    <w:rsid w:val="00F17985"/>
    <w:rsid w:val="00F46EF8"/>
    <w:rsid w:val="00F50D98"/>
    <w:rsid w:val="00F64DC3"/>
    <w:rsid w:val="00F65740"/>
    <w:rsid w:val="00F73852"/>
    <w:rsid w:val="00F8264A"/>
    <w:rsid w:val="00F94ED1"/>
    <w:rsid w:val="00F95BEF"/>
    <w:rsid w:val="00FA0802"/>
    <w:rsid w:val="00FA3F9B"/>
    <w:rsid w:val="00FA77BB"/>
    <w:rsid w:val="00FB03CB"/>
    <w:rsid w:val="00FB14DB"/>
    <w:rsid w:val="00FC020E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06F94E"/>
  <w15:docId w15:val="{9EA9DC25-0F09-40B9-887F-964E031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F7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C411D7"/>
    <w:pPr>
      <w:keepNext/>
      <w:keepLines/>
      <w:numPr>
        <w:numId w:val="1"/>
      </w:numPr>
      <w:spacing w:before="360" w:after="240" w:line="360" w:lineRule="auto"/>
      <w:ind w:left="426" w:hanging="426"/>
      <w:outlineLvl w:val="0"/>
    </w:pPr>
    <w:rPr>
      <w:rFonts w:eastAsiaTheme="majorEastAsia" w:cs="Arial"/>
      <w:b/>
      <w:smallCaps/>
      <w:sz w:val="22"/>
      <w:szCs w:val="32"/>
    </w:rPr>
  </w:style>
  <w:style w:type="paragraph" w:styleId="Cabealho2">
    <w:name w:val="heading 2"/>
    <w:basedOn w:val="Normal"/>
    <w:next w:val="Normal"/>
    <w:link w:val="Cabealho2Carter"/>
    <w:autoRedefine/>
    <w:uiPriority w:val="9"/>
    <w:unhideWhenUsed/>
    <w:qFormat/>
    <w:rsid w:val="00E67650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szCs w:val="26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0C13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7E7DF7"/>
    <w:pPr>
      <w:spacing w:after="220" w:line="180" w:lineRule="atLeast"/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7E7DF7"/>
    <w:rPr>
      <w:rFonts w:ascii="Arial" w:eastAsia="Times New Roman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ter"/>
    <w:uiPriority w:val="99"/>
    <w:rsid w:val="007E7DF7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E7DF7"/>
    <w:rPr>
      <w:rFonts w:ascii="Arial" w:eastAsia="Times New Roman" w:hAnsi="Arial" w:cs="Times New Roman"/>
      <w:spacing w:val="-5"/>
      <w:sz w:val="18"/>
      <w:szCs w:val="20"/>
    </w:rPr>
  </w:style>
  <w:style w:type="paragraph" w:styleId="Cabealho">
    <w:name w:val="header"/>
    <w:basedOn w:val="Normal"/>
    <w:link w:val="CabealhoCarter"/>
    <w:rsid w:val="007E7DF7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CabealhoCarter">
    <w:name w:val="Cabeçalho Caráter"/>
    <w:basedOn w:val="Tipodeletrapredefinidodopargrafo"/>
    <w:link w:val="Cabealho"/>
    <w:rsid w:val="007E7DF7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7E7DF7"/>
    <w:rPr>
      <w:b/>
      <w:sz w:val="18"/>
    </w:rPr>
  </w:style>
  <w:style w:type="paragraph" w:styleId="NormalWeb">
    <w:name w:val="Normal (Web)"/>
    <w:basedOn w:val="Normal"/>
    <w:uiPriority w:val="99"/>
    <w:rsid w:val="00F05119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F05119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ManualNormal">
    <w:name w:val="Manual_Normal"/>
    <w:basedOn w:val="Normal"/>
    <w:link w:val="ManualNormalCarcter"/>
    <w:qFormat/>
    <w:rsid w:val="007D4DA1"/>
    <w:pPr>
      <w:spacing w:before="120" w:after="120" w:line="360" w:lineRule="auto"/>
      <w:ind w:left="0"/>
      <w:jc w:val="both"/>
    </w:pPr>
    <w:rPr>
      <w:rFonts w:eastAsia="Calibri" w:cs="Arial"/>
      <w:spacing w:val="0"/>
    </w:rPr>
  </w:style>
  <w:style w:type="character" w:customStyle="1" w:styleId="ManualNormalCarcter">
    <w:name w:val="Manual_Normal Carácter"/>
    <w:basedOn w:val="Tipodeletrapredefinidodopargrafo"/>
    <w:link w:val="ManualNormal"/>
    <w:rsid w:val="007D4DA1"/>
    <w:rPr>
      <w:rFonts w:ascii="Arial" w:eastAsia="Calibri" w:hAnsi="Arial" w:cs="Arial"/>
      <w:sz w:val="20"/>
      <w:szCs w:val="20"/>
    </w:rPr>
  </w:style>
  <w:style w:type="character" w:styleId="Hiperligao">
    <w:name w:val="Hyperlink"/>
    <w:basedOn w:val="Tipodeletrapredefinidodopargrafo"/>
    <w:rsid w:val="001A033F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411D7"/>
    <w:rPr>
      <w:rFonts w:ascii="Arial" w:eastAsiaTheme="majorEastAsia" w:hAnsi="Arial" w:cs="Arial"/>
      <w:b/>
      <w:smallCaps/>
      <w:spacing w:val="-5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C1320"/>
    <w:rPr>
      <w:rFonts w:ascii="Arial" w:eastAsiaTheme="majorEastAsia" w:hAnsi="Arial" w:cstheme="majorBidi"/>
      <w:spacing w:val="-5"/>
      <w:sz w:val="20"/>
      <w:szCs w:val="2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C1320"/>
    <w:rPr>
      <w:rFonts w:asciiTheme="majorHAnsi" w:eastAsiaTheme="majorEastAsia" w:hAnsiTheme="majorHAnsi" w:cstheme="majorBidi"/>
      <w:color w:val="1F4D78" w:themeColor="accent1" w:themeShade="7F"/>
      <w:spacing w:val="-5"/>
      <w:sz w:val="24"/>
      <w:szCs w:val="24"/>
    </w:rPr>
  </w:style>
  <w:style w:type="table" w:styleId="TabelacomGrelha">
    <w:name w:val="Table Grid"/>
    <w:basedOn w:val="Tabelanormal"/>
    <w:uiPriority w:val="59"/>
    <w:rsid w:val="00E249F9"/>
    <w:pPr>
      <w:spacing w:after="0" w:line="240" w:lineRule="auto"/>
      <w:ind w:left="835"/>
    </w:pPr>
    <w:rPr>
      <w:rFonts w:ascii="Times New Roman" w:eastAsia="SimSu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A080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0802"/>
    <w:rPr>
      <w:rFonts w:ascii="Segoe UI" w:eastAsia="Times New Roman" w:hAnsi="Segoe UI" w:cs="Segoe UI"/>
      <w:spacing w:val="-5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D4E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D4EA0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D4EA0"/>
    <w:rPr>
      <w:rFonts w:ascii="Arial" w:eastAsia="Times New Roman" w:hAnsi="Arial" w:cs="Times New Roman"/>
      <w:spacing w:val="-5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D4E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D4EA0"/>
    <w:rPr>
      <w:rFonts w:ascii="Arial" w:eastAsia="Times New Roman" w:hAnsi="Arial" w:cs="Times New Roman"/>
      <w:b/>
      <w:bCs/>
      <w:spacing w:val="-5"/>
      <w:sz w:val="20"/>
      <w:szCs w:val="20"/>
    </w:rPr>
  </w:style>
  <w:style w:type="numbering" w:styleId="111111">
    <w:name w:val="Outline List 2"/>
    <w:basedOn w:val="Semlista"/>
    <w:unhideWhenUsed/>
    <w:rsid w:val="00ED14A8"/>
    <w:pPr>
      <w:numPr>
        <w:numId w:val="3"/>
      </w:numPr>
    </w:pPr>
  </w:style>
  <w:style w:type="character" w:customStyle="1" w:styleId="PargrafodaListaCarter">
    <w:name w:val="Parágrafo da Lista Caráter"/>
    <w:link w:val="PargrafodaLista"/>
    <w:uiPriority w:val="34"/>
    <w:rsid w:val="003A3A9F"/>
    <w:rPr>
      <w:rFonts w:ascii="Calibri" w:eastAsia="Calibri" w:hAnsi="Calibri" w:cs="Times New Roman"/>
    </w:rPr>
  </w:style>
  <w:style w:type="table" w:customStyle="1" w:styleId="Tabelacomgrelha1">
    <w:name w:val="Tabela com grelha1"/>
    <w:basedOn w:val="Tabelanormal"/>
    <w:next w:val="TabelacomGrelha"/>
    <w:rsid w:val="00505BC6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Text - Footnote,Legendas,Car,fn,Footnotes,Footnote ak,fn Char,footnote text Char,Footnotes Char,Footnote ak Char,ft,fn cafc,Footnotes Char Char,Footnote Text Char Char,fn Char Char,footnote text Char Char Char Ch,fn1,ft1"/>
    <w:basedOn w:val="Normal"/>
    <w:link w:val="TextodenotaderodapCarter"/>
    <w:uiPriority w:val="99"/>
    <w:unhideWhenUsed/>
    <w:qFormat/>
    <w:rsid w:val="007E598C"/>
    <w:pPr>
      <w:ind w:left="0"/>
    </w:pPr>
    <w:rPr>
      <w:rFonts w:ascii="Garamond" w:eastAsiaTheme="minorHAnsi" w:hAnsi="Garamond" w:cstheme="minorBidi"/>
      <w:spacing w:val="0"/>
    </w:rPr>
  </w:style>
  <w:style w:type="character" w:customStyle="1" w:styleId="TextodenotaderodapCarter">
    <w:name w:val="Texto de nota de rodapé Caráter"/>
    <w:aliases w:val="Text - Footnote Caráter,Legendas Caráter,Car Caráter,fn Caráter,Footnotes Caráter,Footnote ak Caráter,fn Char Caráter,footnote text Char Caráter,Footnotes Char Caráter,Footnote ak Char Caráter,ft Caráter,fn cafc Caráter"/>
    <w:basedOn w:val="Tipodeletrapredefinidodopargrafo"/>
    <w:link w:val="Textodenotaderodap"/>
    <w:uiPriority w:val="99"/>
    <w:rsid w:val="007E598C"/>
    <w:rPr>
      <w:rFonts w:ascii="Garamond" w:hAnsi="Garamond"/>
      <w:sz w:val="20"/>
      <w:szCs w:val="20"/>
    </w:rPr>
  </w:style>
  <w:style w:type="character" w:styleId="Refdenotaderodap">
    <w:name w:val="footnote reference"/>
    <w:aliases w:val="Char1,Ref,de nota al pie,Footnote number,Z_Footnote Text,RFootnote text,Nota,Footnote symbol,Char,SUPERS,Voetnootmarkering,fr,o,(NECG) Footnote Reference,Footnote Reference Number,Heading 9 Char1,f,Numbering - Footnote,Ref1,Ref2"/>
    <w:basedOn w:val="Tipodeletrapredefinidodopargrafo"/>
    <w:uiPriority w:val="99"/>
    <w:unhideWhenUsed/>
    <w:qFormat/>
    <w:rsid w:val="007E598C"/>
    <w:rPr>
      <w:vertAlign w:val="superscript"/>
    </w:rPr>
  </w:style>
  <w:style w:type="paragraph" w:customStyle="1" w:styleId="xl65">
    <w:name w:val="xl65"/>
    <w:basedOn w:val="Normal"/>
    <w:rsid w:val="006378A6"/>
    <w:pPr>
      <w:spacing w:before="100" w:beforeAutospacing="1" w:after="100" w:afterAutospacing="1"/>
      <w:ind w:left="0"/>
    </w:pPr>
    <w:rPr>
      <w:rFonts w:ascii="Times New Roman" w:hAnsi="Times New Roman"/>
      <w:b/>
      <w:bCs/>
      <w:spacing w:val="0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E07A61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table" w:customStyle="1" w:styleId="Tabelacomgrelha2">
    <w:name w:val="Tabela com grelha2"/>
    <w:basedOn w:val="Tabelanormal"/>
    <w:next w:val="TabelacomGrelha"/>
    <w:uiPriority w:val="39"/>
    <w:rsid w:val="00557A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CF6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EF72-3EB4-48A1-A2E0-6776938E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1663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Direção Geral de Energia e Geologia</Company>
  <LinksUpToDate>false</LinksUpToDate>
  <CharactersWithSpaces>10623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Pimenta</dc:creator>
  <cp:lastModifiedBy>Paulo Silva</cp:lastModifiedBy>
  <cp:revision>2</cp:revision>
  <cp:lastPrinted>2016-09-14T15:36:00Z</cp:lastPrinted>
  <dcterms:created xsi:type="dcterms:W3CDTF">2018-05-22T14:07:00Z</dcterms:created>
  <dcterms:modified xsi:type="dcterms:W3CDTF">2018-05-22T14:07:00Z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UFAAhWon0ndq8EwBfVEOpeh2Gjxrj+cLd6h4T6ZcbsWv57UhATKgp1nz31SmwqA/4u0nf7rH0xfZVEs4
yAzcR5opafn5ZkP56Wx1BgNSmx8N8M+NDQ4lYrRNmv0rLfhDGfCmHBxOeN2hDOkDrGuM6ca5yPvv
IAWABUoI1IuJpUcVNGn+UEEbXk7977WwKVas60XBvOHoW3rxKoiqgoUXShvqwjcKukOj1Y8+6H6n
bSWQdQtmPQmGV2T99</vt:lpwstr>
  </property>
  <property fmtid="{D5CDD505-2E9C-101B-9397-08002B2CF9AE}" pid="3" name="MAIL_MSG_ID2">
    <vt:lpwstr>gPk9nl+ttT0pODna0KETZ218tKg4tS9bM05rW73+aHPe9gRv2r6qxZLHEIz
KPeb1IjFJywLqOCQPiGUilK2Qcw=</vt:lpwstr>
  </property>
  <property fmtid="{D5CDD505-2E9C-101B-9397-08002B2CF9AE}" pid="4" name="RESPONSE_SENDER_NAME">
    <vt:lpwstr>4AAA9DNYQidmug7JnOsqQSz/HZwoURJGQDU8ucS7tYmtqvltGW4jhpkUBA==</vt:lpwstr>
  </property>
  <property fmtid="{D5CDD505-2E9C-101B-9397-08002B2CF9AE}" pid="5" name="EMAIL_OWNER_ADDRESS">
    <vt:lpwstr>4AAA4Lxe55UJ0C9ezzRa+BBmMzJCj5Q5VZb5JYBnSdKq4IwOlEIxnc/f1Q==</vt:lpwstr>
  </property>
</Properties>
</file>